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C6B65C">
      <w:pPr>
        <w:spacing w:line="332" w:lineRule="auto"/>
        <w:rPr>
          <w:rFonts w:ascii="Times New Roman" w:hAnsi="Times New Roman" w:cs="Times New Roman"/>
          <w:color w:val="auto"/>
        </w:rPr>
      </w:pPr>
    </w:p>
    <w:p w14:paraId="494E9341">
      <w:pPr>
        <w:pStyle w:val="3"/>
        <w:spacing w:before="97" w:line="219" w:lineRule="auto"/>
        <w:ind w:left="750"/>
        <w:rPr>
          <w:rFonts w:ascii="Times New Roman" w:hAnsi="Times New Roman" w:cs="Times New Roman"/>
          <w:color w:val="auto"/>
          <w:sz w:val="30"/>
          <w:szCs w:val="30"/>
          <w:lang w:eastAsia="zh-CN"/>
        </w:rPr>
      </w:pPr>
      <w:r>
        <w:rPr>
          <w:rFonts w:ascii="Times New Roman" w:hAnsi="Times New Roman" w:cs="Times New Roman"/>
          <w:b/>
          <w:bCs/>
          <w:color w:val="auto"/>
          <w:spacing w:val="-3"/>
          <w:sz w:val="30"/>
          <w:szCs w:val="30"/>
          <w:lang w:eastAsia="zh-CN"/>
        </w:rPr>
        <w:t>东南大学成贤学院</w:t>
      </w:r>
      <w:r>
        <w:rPr>
          <w:rFonts w:hint="eastAsia" w:ascii="Times New Roman" w:hAnsi="Times New Roman" w:cs="Times New Roman"/>
          <w:b/>
          <w:bCs/>
          <w:color w:val="auto"/>
          <w:spacing w:val="-3"/>
          <w:sz w:val="30"/>
          <w:szCs w:val="30"/>
          <w:u w:val="single"/>
          <w:lang w:eastAsia="zh-CN"/>
        </w:rPr>
        <w:t>新能源材料与器件</w:t>
      </w:r>
      <w:r>
        <w:rPr>
          <w:rFonts w:ascii="Times New Roman" w:hAnsi="Times New Roman" w:cs="Times New Roman"/>
          <w:b/>
          <w:bCs/>
          <w:color w:val="auto"/>
          <w:spacing w:val="-3"/>
          <w:sz w:val="30"/>
          <w:szCs w:val="30"/>
          <w:lang w:eastAsia="zh-CN"/>
        </w:rPr>
        <w:t>本科专业培</w:t>
      </w:r>
      <w:r>
        <w:rPr>
          <w:rFonts w:ascii="Times New Roman" w:hAnsi="Times New Roman" w:cs="Times New Roman"/>
          <w:b/>
          <w:bCs/>
          <w:color w:val="auto"/>
          <w:spacing w:val="-4"/>
          <w:sz w:val="30"/>
          <w:szCs w:val="30"/>
          <w:lang w:eastAsia="zh-CN"/>
        </w:rPr>
        <w:t>养方案</w:t>
      </w:r>
    </w:p>
    <w:p w14:paraId="6674086A">
      <w:pPr>
        <w:spacing w:line="327" w:lineRule="auto"/>
        <w:rPr>
          <w:rFonts w:ascii="Times New Roman" w:hAnsi="Times New Roman" w:cs="Times New Roman"/>
          <w:color w:val="auto"/>
          <w:lang w:eastAsia="zh-CN"/>
        </w:rPr>
      </w:pPr>
    </w:p>
    <w:p w14:paraId="0C73C89E">
      <w:pPr>
        <w:pStyle w:val="3"/>
        <w:widowControl w:val="0"/>
        <w:overflowPunct w:val="0"/>
        <w:snapToGrid/>
        <w:spacing w:before="168" w:line="368" w:lineRule="auto"/>
        <w:ind w:firstLine="711" w:firstLineChars="300"/>
        <w:textAlignment w:val="auto"/>
        <w:rPr>
          <w:rFonts w:ascii="Times New Roman" w:hAnsi="Times New Roman" w:cs="Times New Roman"/>
          <w:color w:val="auto"/>
          <w:lang w:eastAsia="zh-CN"/>
        </w:rPr>
      </w:pPr>
      <w:r>
        <w:rPr>
          <w:rFonts w:ascii="Times New Roman" w:hAnsi="Times New Roman" w:cs="Times New Roman"/>
          <w:b/>
          <w:bCs/>
          <w:color w:val="auto"/>
          <w:spacing w:val="-2"/>
          <w:lang w:eastAsia="zh-CN"/>
        </w:rPr>
        <w:t>门类：</w:t>
      </w:r>
      <w:r>
        <w:rPr>
          <w:rFonts w:hint="eastAsia" w:ascii="Times New Roman" w:hAnsi="Times New Roman" w:cs="Times New Roman"/>
          <w:b/>
          <w:bCs/>
          <w:color w:val="auto"/>
          <w:spacing w:val="-3"/>
          <w:u w:val="single"/>
          <w:lang w:eastAsia="zh-CN"/>
        </w:rPr>
        <w:t xml:space="preserve">  工学  </w:t>
      </w:r>
      <w:r>
        <w:rPr>
          <w:rFonts w:ascii="Times New Roman" w:hAnsi="Times New Roman" w:cs="Times New Roman"/>
          <w:color w:val="auto"/>
          <w:spacing w:val="-3"/>
          <w:u w:val="single"/>
          <w:lang w:eastAsia="zh-CN"/>
        </w:rPr>
        <w:t xml:space="preserve"> </w:t>
      </w:r>
      <w:r>
        <w:rPr>
          <w:rFonts w:ascii="Times New Roman" w:hAnsi="Times New Roman" w:cs="Times New Roman"/>
          <w:color w:val="auto"/>
          <w:spacing w:val="-3"/>
          <w:lang w:eastAsia="zh-CN"/>
        </w:rPr>
        <w:t xml:space="preserve">  </w:t>
      </w:r>
      <w:r>
        <w:rPr>
          <w:rFonts w:ascii="Times New Roman" w:hAnsi="Times New Roman" w:cs="Times New Roman"/>
          <w:color w:val="auto"/>
          <w:spacing w:val="-2"/>
          <w:lang w:eastAsia="zh-CN"/>
        </w:rPr>
        <w:t xml:space="preserve">       </w:t>
      </w:r>
      <w:r>
        <w:rPr>
          <w:rFonts w:ascii="Times New Roman" w:hAnsi="Times New Roman" w:cs="Times New Roman"/>
          <w:b/>
          <w:bCs/>
          <w:color w:val="auto"/>
          <w:spacing w:val="-2"/>
          <w:lang w:eastAsia="zh-CN"/>
        </w:rPr>
        <w:t>专业代码：</w:t>
      </w:r>
      <w:r>
        <w:rPr>
          <w:rFonts w:ascii="Times New Roman" w:hAnsi="Times New Roman" w:cs="Times New Roman"/>
          <w:color w:val="auto"/>
          <w:spacing w:val="-2"/>
          <w:lang w:eastAsia="zh-CN"/>
        </w:rPr>
        <w:t xml:space="preserve"> </w:t>
      </w:r>
      <w:r>
        <w:rPr>
          <w:rFonts w:hint="eastAsia" w:ascii="Times New Roman" w:hAnsi="Times New Roman" w:cs="Times New Roman"/>
          <w:b/>
          <w:bCs/>
          <w:color w:val="auto"/>
          <w:spacing w:val="-3"/>
          <w:u w:val="single"/>
          <w:lang w:eastAsia="zh-CN"/>
        </w:rPr>
        <w:t xml:space="preserve">   080414T  </w:t>
      </w:r>
      <w:r>
        <w:rPr>
          <w:rFonts w:ascii="Times New Roman" w:hAnsi="Times New Roman" w:cs="Times New Roman"/>
          <w:color w:val="auto"/>
          <w:spacing w:val="-2"/>
          <w:lang w:eastAsia="zh-CN"/>
        </w:rPr>
        <w:t xml:space="preserve">     </w:t>
      </w:r>
      <w:r>
        <w:rPr>
          <w:rFonts w:ascii="Times New Roman" w:hAnsi="Times New Roman" w:cs="Times New Roman"/>
          <w:b/>
          <w:bCs/>
          <w:color w:val="auto"/>
          <w:spacing w:val="-2"/>
          <w:lang w:eastAsia="zh-CN"/>
        </w:rPr>
        <w:t>授予学位：</w:t>
      </w:r>
      <w:r>
        <w:rPr>
          <w:rFonts w:hint="eastAsia" w:ascii="Times New Roman" w:hAnsi="Times New Roman" w:cs="Times New Roman"/>
          <w:b/>
          <w:bCs/>
          <w:color w:val="auto"/>
          <w:spacing w:val="-2"/>
          <w:u w:val="single"/>
          <w:lang w:eastAsia="zh-CN"/>
        </w:rPr>
        <w:t xml:space="preserve"> 工学学士     </w:t>
      </w:r>
    </w:p>
    <w:p w14:paraId="50E3FD69">
      <w:pPr>
        <w:pStyle w:val="3"/>
        <w:spacing w:before="311" w:line="220" w:lineRule="auto"/>
        <w:ind w:left="725"/>
        <w:rPr>
          <w:rFonts w:ascii="Times New Roman" w:hAnsi="Times New Roman" w:cs="Times New Roman"/>
          <w:color w:val="auto"/>
          <w:lang w:eastAsia="zh-CN"/>
        </w:rPr>
      </w:pPr>
      <w:r>
        <w:rPr>
          <w:rFonts w:ascii="Times New Roman" w:hAnsi="Times New Roman" w:cs="Times New Roman"/>
          <w:b/>
          <w:bCs/>
          <w:color w:val="auto"/>
          <w:spacing w:val="-3"/>
          <w:lang w:eastAsia="zh-CN"/>
        </w:rPr>
        <w:t>学制：</w:t>
      </w:r>
      <w:r>
        <w:rPr>
          <w:rFonts w:ascii="Times New Roman" w:hAnsi="Times New Roman" w:cs="Times New Roman"/>
          <w:b/>
          <w:bCs/>
          <w:color w:val="auto"/>
          <w:spacing w:val="-3"/>
          <w:u w:val="single"/>
          <w:lang w:eastAsia="zh-CN"/>
        </w:rPr>
        <w:t>四年</w:t>
      </w:r>
      <w:r>
        <w:rPr>
          <w:rFonts w:hint="eastAsia" w:ascii="Times New Roman" w:hAnsi="Times New Roman" w:cs="Times New Roman"/>
          <w:b/>
          <w:bCs/>
          <w:color w:val="auto"/>
          <w:spacing w:val="-3"/>
          <w:u w:val="single"/>
          <w:lang w:eastAsia="zh-CN"/>
        </w:rPr>
        <w:t xml:space="preserve">    </w:t>
      </w:r>
      <w:r>
        <w:rPr>
          <w:rFonts w:ascii="Times New Roman" w:hAnsi="Times New Roman" w:cs="Times New Roman"/>
          <w:color w:val="auto"/>
          <w:spacing w:val="-3"/>
          <w:u w:val="single"/>
          <w:lang w:eastAsia="zh-CN"/>
        </w:rPr>
        <w:t xml:space="preserve"> </w:t>
      </w:r>
      <w:r>
        <w:rPr>
          <w:rFonts w:ascii="Times New Roman" w:hAnsi="Times New Roman" w:cs="Times New Roman"/>
          <w:color w:val="auto"/>
          <w:spacing w:val="-3"/>
          <w:lang w:eastAsia="zh-CN"/>
        </w:rPr>
        <w:t xml:space="preserve">         </w:t>
      </w:r>
      <w:r>
        <w:rPr>
          <w:rFonts w:ascii="Times New Roman" w:hAnsi="Times New Roman" w:cs="Times New Roman"/>
          <w:b/>
          <w:bCs/>
          <w:color w:val="auto"/>
          <w:spacing w:val="-3"/>
          <w:lang w:eastAsia="zh-CN"/>
        </w:rPr>
        <w:t>制定日期：</w:t>
      </w:r>
      <w:r>
        <w:rPr>
          <w:rFonts w:ascii="Times New Roman" w:hAnsi="Times New Roman" w:cs="Times New Roman"/>
          <w:b/>
          <w:bCs/>
          <w:color w:val="auto"/>
          <w:spacing w:val="-3"/>
          <w:u w:val="single"/>
          <w:lang w:eastAsia="zh-CN"/>
        </w:rPr>
        <w:t>202</w:t>
      </w:r>
      <w:r>
        <w:rPr>
          <w:rFonts w:hint="eastAsia" w:ascii="Times New Roman" w:hAnsi="Times New Roman" w:cs="Times New Roman"/>
          <w:b/>
          <w:bCs/>
          <w:color w:val="auto"/>
          <w:spacing w:val="-3"/>
          <w:u w:val="single"/>
          <w:lang w:eastAsia="zh-CN"/>
        </w:rPr>
        <w:t>5</w:t>
      </w:r>
      <w:r>
        <w:rPr>
          <w:rFonts w:ascii="Times New Roman" w:hAnsi="Times New Roman" w:cs="Times New Roman"/>
          <w:color w:val="auto"/>
          <w:spacing w:val="-35"/>
          <w:u w:val="single"/>
          <w:lang w:eastAsia="zh-CN"/>
        </w:rPr>
        <w:t xml:space="preserve"> </w:t>
      </w:r>
      <w:r>
        <w:rPr>
          <w:rFonts w:ascii="Times New Roman" w:hAnsi="Times New Roman" w:cs="Times New Roman"/>
          <w:b/>
          <w:bCs/>
          <w:color w:val="auto"/>
          <w:spacing w:val="-3"/>
          <w:u w:val="single"/>
          <w:lang w:eastAsia="zh-CN"/>
        </w:rPr>
        <w:t>年</w:t>
      </w:r>
      <w:r>
        <w:rPr>
          <w:rFonts w:ascii="Times New Roman" w:hAnsi="Times New Roman" w:cs="Times New Roman"/>
          <w:color w:val="auto"/>
          <w:spacing w:val="-46"/>
          <w:u w:val="single"/>
          <w:lang w:eastAsia="zh-CN"/>
        </w:rPr>
        <w:t xml:space="preserve"> </w:t>
      </w:r>
      <w:r>
        <w:rPr>
          <w:rFonts w:hint="eastAsia" w:ascii="Times New Roman" w:hAnsi="Times New Roman" w:cs="Times New Roman"/>
          <w:b/>
          <w:bCs/>
          <w:color w:val="auto"/>
          <w:spacing w:val="-3"/>
          <w:u w:val="single"/>
          <w:lang w:eastAsia="zh-CN"/>
        </w:rPr>
        <w:t>5</w:t>
      </w:r>
      <w:r>
        <w:rPr>
          <w:rFonts w:ascii="Times New Roman" w:hAnsi="Times New Roman" w:cs="Times New Roman"/>
          <w:color w:val="auto"/>
          <w:spacing w:val="-42"/>
          <w:u w:val="single"/>
          <w:lang w:eastAsia="zh-CN"/>
        </w:rPr>
        <w:t xml:space="preserve"> </w:t>
      </w:r>
      <w:r>
        <w:rPr>
          <w:rFonts w:ascii="Times New Roman" w:hAnsi="Times New Roman" w:cs="Times New Roman"/>
          <w:b/>
          <w:bCs/>
          <w:color w:val="auto"/>
          <w:spacing w:val="-3"/>
          <w:u w:val="single"/>
          <w:lang w:eastAsia="zh-CN"/>
        </w:rPr>
        <w:t>月</w:t>
      </w:r>
    </w:p>
    <w:p w14:paraId="557D7ED5">
      <w:pPr>
        <w:spacing w:line="279" w:lineRule="auto"/>
        <w:rPr>
          <w:rFonts w:ascii="Times New Roman" w:hAnsi="Times New Roman" w:cs="Times New Roman"/>
          <w:color w:val="auto"/>
          <w:lang w:eastAsia="zh-CN"/>
        </w:rPr>
      </w:pPr>
    </w:p>
    <w:p w14:paraId="4A779B7A">
      <w:pPr>
        <w:spacing w:line="279" w:lineRule="auto"/>
        <w:rPr>
          <w:rFonts w:ascii="Times New Roman" w:hAnsi="Times New Roman" w:cs="Times New Roman"/>
          <w:color w:val="auto"/>
          <w:lang w:eastAsia="zh-CN"/>
        </w:rPr>
      </w:pPr>
    </w:p>
    <w:p w14:paraId="699478F3">
      <w:pPr>
        <w:pStyle w:val="3"/>
        <w:spacing w:before="91" w:line="360" w:lineRule="auto"/>
        <w:ind w:left="7"/>
        <w:outlineLvl w:val="0"/>
        <w:rPr>
          <w:rFonts w:ascii="Times New Roman" w:hAnsi="Times New Roman" w:cs="Times New Roman"/>
          <w:color w:val="auto"/>
          <w:sz w:val="28"/>
          <w:szCs w:val="28"/>
          <w:lang w:eastAsia="zh-CN"/>
        </w:rPr>
      </w:pPr>
      <w:r>
        <w:rPr>
          <w:rFonts w:ascii="Times New Roman" w:hAnsi="Times New Roman" w:cs="Times New Roman"/>
          <w:b/>
          <w:bCs/>
          <w:color w:val="auto"/>
          <w:spacing w:val="-5"/>
          <w:sz w:val="28"/>
          <w:szCs w:val="28"/>
          <w:lang w:eastAsia="zh-CN"/>
        </w:rPr>
        <w:t>一、培养目标</w:t>
      </w:r>
    </w:p>
    <w:p w14:paraId="7FF0F61D">
      <w:pPr>
        <w:widowControl w:val="0"/>
        <w:kinsoku/>
        <w:adjustRightInd/>
        <w:snapToGrid/>
        <w:spacing w:line="360" w:lineRule="auto"/>
        <w:ind w:firstLine="480" w:firstLineChars="200"/>
        <w:jc w:val="both"/>
        <w:textAlignment w:val="auto"/>
        <w:rPr>
          <w:rFonts w:ascii="Times New Roman" w:hAnsi="Times New Roman" w:eastAsia="宋体" w:cs="Times New Roman"/>
          <w:color w:val="auto"/>
          <w:sz w:val="24"/>
          <w:szCs w:val="24"/>
          <w:lang w:eastAsia="zh-CN"/>
        </w:rPr>
      </w:pPr>
      <w:r>
        <w:rPr>
          <w:rFonts w:ascii="Times New Roman" w:hAnsi="Times New Roman" w:eastAsia="宋体" w:cs="Times New Roman"/>
          <w:color w:val="auto"/>
          <w:sz w:val="24"/>
          <w:szCs w:val="24"/>
          <w:lang w:eastAsia="zh-CN"/>
        </w:rPr>
        <w:t>本专业贯彻德、智、体、美、劳全面发展的教育方针，以“注重素质、培养能力、突出应用、强化实践、产教融合”为指导思想，培养具有高度社会责任感、良好职业道德和健康身心，掌握新能源材料与器件的设计、制备与性能调控的基础理论和专业知识，具备较强的创新实践能力、良好的发展潜力和国际视野，能在光伏、储能等新能源、电力领域从事新能源材料与器件的设计、制备、应用研究及相关管理工作的高素质应用型本科人才。</w:t>
      </w:r>
    </w:p>
    <w:p w14:paraId="5A1EAFB1">
      <w:pPr>
        <w:pStyle w:val="3"/>
        <w:spacing w:before="279" w:line="360" w:lineRule="auto"/>
        <w:ind w:left="7"/>
        <w:outlineLvl w:val="0"/>
        <w:rPr>
          <w:rFonts w:ascii="Times New Roman" w:hAnsi="Times New Roman" w:cs="Times New Roman"/>
          <w:color w:val="auto"/>
          <w:sz w:val="28"/>
          <w:szCs w:val="28"/>
          <w:lang w:eastAsia="zh-CN"/>
        </w:rPr>
      </w:pPr>
      <w:r>
        <w:rPr>
          <w:rFonts w:ascii="Times New Roman" w:hAnsi="Times New Roman" w:cs="Times New Roman"/>
          <w:b/>
          <w:bCs/>
          <w:color w:val="auto"/>
          <w:spacing w:val="-5"/>
          <w:sz w:val="28"/>
          <w:szCs w:val="28"/>
          <w:lang w:eastAsia="zh-CN"/>
        </w:rPr>
        <w:t>二、毕业要求</w:t>
      </w:r>
    </w:p>
    <w:p w14:paraId="66470E90">
      <w:pPr>
        <w:widowControl w:val="0"/>
        <w:kinsoku/>
        <w:adjustRightInd/>
        <w:snapToGrid/>
        <w:spacing w:line="360" w:lineRule="auto"/>
        <w:ind w:firstLine="480" w:firstLineChars="200"/>
        <w:jc w:val="both"/>
        <w:textAlignment w:val="auto"/>
        <w:rPr>
          <w:rFonts w:ascii="Times New Roman" w:hAnsi="Times New Roman" w:eastAsia="宋体" w:cs="Times New Roman"/>
          <w:color w:val="auto"/>
          <w:sz w:val="24"/>
          <w:szCs w:val="24"/>
          <w:lang w:eastAsia="zh-CN"/>
        </w:rPr>
      </w:pPr>
      <w:r>
        <w:rPr>
          <w:rFonts w:ascii="Times New Roman" w:hAnsi="Times New Roman" w:eastAsia="宋体" w:cs="Times New Roman"/>
          <w:color w:val="auto"/>
          <w:sz w:val="24"/>
          <w:szCs w:val="24"/>
          <w:lang w:eastAsia="zh-CN"/>
        </w:rPr>
        <w:t>本专业学生应具备良好的人文社会科学素养、较强的社会责任感、良好的职业道德和创新精神，</w:t>
      </w:r>
      <w:r>
        <w:rPr>
          <w:rFonts w:hint="eastAsia" w:ascii="Times New Roman" w:hAnsi="Times New Roman" w:eastAsia="宋体" w:cs="Times New Roman"/>
          <w:color w:val="auto"/>
          <w:sz w:val="24"/>
          <w:szCs w:val="24"/>
          <w:lang w:eastAsia="zh-CN"/>
        </w:rPr>
        <w:t>系统</w:t>
      </w:r>
      <w:r>
        <w:rPr>
          <w:rFonts w:ascii="Times New Roman" w:hAnsi="Times New Roman" w:eastAsia="宋体" w:cs="Times New Roman"/>
          <w:color w:val="auto"/>
          <w:sz w:val="24"/>
          <w:szCs w:val="24"/>
          <w:lang w:eastAsia="zh-CN"/>
        </w:rPr>
        <w:t>掌握新能源材料与器件的设计、制备与性能调控的基础理论和专业知识，能在光伏、储能等新能源、电力领域从事新能源材料与器件的设计、制备、应用研究及相关管理工作。毕业生应达到如下知识、能力与素质的基本要求：</w:t>
      </w:r>
    </w:p>
    <w:p w14:paraId="4F068E6B">
      <w:pPr>
        <w:widowControl w:val="0"/>
        <w:kinsoku/>
        <w:adjustRightInd/>
        <w:snapToGrid/>
        <w:spacing w:line="360" w:lineRule="auto"/>
        <w:ind w:firstLine="480" w:firstLineChars="200"/>
        <w:jc w:val="both"/>
        <w:textAlignment w:val="auto"/>
        <w:rPr>
          <w:rFonts w:ascii="Times New Roman" w:hAnsi="Times New Roman" w:eastAsia="宋体" w:cs="Times New Roman"/>
          <w:color w:val="auto"/>
          <w:sz w:val="24"/>
          <w:szCs w:val="24"/>
          <w:lang w:eastAsia="zh-CN"/>
        </w:rPr>
      </w:pPr>
      <w:r>
        <w:rPr>
          <w:rFonts w:ascii="Times New Roman" w:hAnsi="Times New Roman" w:eastAsia="宋体" w:cs="Times New Roman"/>
          <w:color w:val="auto"/>
          <w:sz w:val="24"/>
          <w:szCs w:val="24"/>
          <w:lang w:eastAsia="zh-CN"/>
        </w:rPr>
        <w:t>工程知识：能够将数学、自然科学、工程基础和专业知识，用于解决新能源材料与器件领域的复杂工程问题。</w:t>
      </w:r>
    </w:p>
    <w:p w14:paraId="49926C1F">
      <w:pPr>
        <w:widowControl w:val="0"/>
        <w:kinsoku/>
        <w:adjustRightInd/>
        <w:snapToGrid/>
        <w:spacing w:line="360" w:lineRule="auto"/>
        <w:ind w:firstLine="480" w:firstLineChars="200"/>
        <w:jc w:val="both"/>
        <w:textAlignment w:val="auto"/>
        <w:rPr>
          <w:rFonts w:ascii="Times New Roman" w:hAnsi="Times New Roman" w:eastAsia="宋体" w:cs="Times New Roman"/>
          <w:color w:val="auto"/>
          <w:sz w:val="24"/>
          <w:szCs w:val="24"/>
          <w:lang w:eastAsia="zh-CN"/>
        </w:rPr>
      </w:pPr>
      <w:r>
        <w:rPr>
          <w:rFonts w:ascii="Times New Roman" w:hAnsi="Times New Roman" w:eastAsia="宋体" w:cs="Times New Roman"/>
          <w:color w:val="auto"/>
          <w:sz w:val="24"/>
          <w:szCs w:val="24"/>
          <w:lang w:eastAsia="zh-CN"/>
        </w:rPr>
        <w:t>1.1 掌握数学、自然科学、工程基础知识及有关专业软件的使用技能，能够将其用于新能源材料与器件领域复杂工程问题的表述、分析与建模。</w:t>
      </w:r>
    </w:p>
    <w:p w14:paraId="114AC585">
      <w:pPr>
        <w:widowControl w:val="0"/>
        <w:kinsoku/>
        <w:adjustRightInd/>
        <w:snapToGrid/>
        <w:spacing w:line="360" w:lineRule="auto"/>
        <w:ind w:firstLine="480" w:firstLineChars="200"/>
        <w:jc w:val="both"/>
        <w:textAlignment w:val="auto"/>
        <w:rPr>
          <w:rFonts w:ascii="Times New Roman" w:hAnsi="Times New Roman" w:eastAsia="宋体" w:cs="Times New Roman"/>
          <w:color w:val="auto"/>
          <w:sz w:val="24"/>
          <w:szCs w:val="24"/>
          <w:lang w:eastAsia="zh-CN"/>
        </w:rPr>
      </w:pPr>
      <w:r>
        <w:rPr>
          <w:rFonts w:ascii="Times New Roman" w:hAnsi="Times New Roman" w:eastAsia="宋体" w:cs="Times New Roman"/>
          <w:color w:val="auto"/>
          <w:sz w:val="24"/>
          <w:szCs w:val="24"/>
          <w:lang w:eastAsia="zh-CN"/>
        </w:rPr>
        <w:t>1.2 能够运用自然科学、工程理念和数学模型，分析解决新能源材料与器件工程问题。</w:t>
      </w:r>
    </w:p>
    <w:p w14:paraId="7C883423">
      <w:pPr>
        <w:widowControl w:val="0"/>
        <w:kinsoku/>
        <w:adjustRightInd/>
        <w:snapToGrid/>
        <w:spacing w:line="360" w:lineRule="auto"/>
        <w:ind w:firstLine="480" w:firstLineChars="200"/>
        <w:jc w:val="both"/>
        <w:textAlignment w:val="auto"/>
        <w:rPr>
          <w:rFonts w:ascii="Times New Roman" w:hAnsi="Times New Roman" w:eastAsia="宋体" w:cs="Times New Roman"/>
          <w:color w:val="auto"/>
          <w:sz w:val="24"/>
          <w:szCs w:val="24"/>
          <w:lang w:eastAsia="zh-CN"/>
        </w:rPr>
      </w:pPr>
      <w:r>
        <w:rPr>
          <w:rFonts w:ascii="Times New Roman" w:hAnsi="Times New Roman" w:eastAsia="宋体" w:cs="Times New Roman"/>
          <w:color w:val="auto"/>
          <w:sz w:val="24"/>
          <w:szCs w:val="24"/>
          <w:lang w:eastAsia="zh-CN"/>
        </w:rPr>
        <w:t>1.3 能够运用物理、化学、信息科学等相关专业知识和数学模型，综合比较分析新能源材料与器件工程问题的解决方案。</w:t>
      </w:r>
    </w:p>
    <w:p w14:paraId="10452518">
      <w:pPr>
        <w:widowControl w:val="0"/>
        <w:kinsoku/>
        <w:adjustRightInd/>
        <w:snapToGrid/>
        <w:spacing w:line="360" w:lineRule="auto"/>
        <w:ind w:firstLine="480" w:firstLineChars="200"/>
        <w:jc w:val="both"/>
        <w:textAlignment w:val="auto"/>
        <w:rPr>
          <w:rFonts w:ascii="Times New Roman" w:hAnsi="Times New Roman" w:eastAsia="宋体" w:cs="Times New Roman"/>
          <w:color w:val="auto"/>
          <w:sz w:val="24"/>
          <w:szCs w:val="24"/>
          <w:lang w:eastAsia="zh-CN"/>
        </w:rPr>
      </w:pPr>
      <w:r>
        <w:rPr>
          <w:rFonts w:ascii="Times New Roman" w:hAnsi="Times New Roman" w:eastAsia="宋体" w:cs="Times New Roman"/>
          <w:color w:val="auto"/>
          <w:sz w:val="24"/>
          <w:szCs w:val="24"/>
          <w:lang w:eastAsia="zh-CN"/>
        </w:rPr>
        <w:t>2</w:t>
      </w:r>
      <w:r>
        <w:rPr>
          <w:rFonts w:hint="eastAsia" w:ascii="Times New Roman" w:hAnsi="Times New Roman" w:eastAsia="宋体" w:cs="Times New Roman"/>
          <w:color w:val="auto"/>
          <w:sz w:val="24"/>
          <w:szCs w:val="24"/>
          <w:lang w:eastAsia="zh-CN"/>
        </w:rPr>
        <w:t xml:space="preserve">. </w:t>
      </w:r>
      <w:r>
        <w:rPr>
          <w:rFonts w:ascii="Times New Roman" w:hAnsi="Times New Roman" w:eastAsia="宋体" w:cs="Times New Roman"/>
          <w:color w:val="auto"/>
          <w:sz w:val="24"/>
          <w:szCs w:val="24"/>
          <w:lang w:eastAsia="zh-CN"/>
        </w:rPr>
        <w:t>问题分析：能够应用数学、自然科学和工程科学的基本原理，结合文献研究，识别、表达并分析面向新能源、电力领域的新能源材料与器件设计、制备、测试、维护中的工程问题，获得有效结论。</w:t>
      </w:r>
    </w:p>
    <w:p w14:paraId="47ACBF4B">
      <w:pPr>
        <w:widowControl w:val="0"/>
        <w:kinsoku/>
        <w:adjustRightInd/>
        <w:snapToGrid/>
        <w:spacing w:line="360" w:lineRule="auto"/>
        <w:ind w:firstLine="480" w:firstLineChars="200"/>
        <w:jc w:val="both"/>
        <w:textAlignment w:val="auto"/>
        <w:rPr>
          <w:rFonts w:ascii="Times New Roman" w:hAnsi="Times New Roman" w:eastAsia="宋体" w:cs="Times New Roman"/>
          <w:color w:val="auto"/>
          <w:sz w:val="24"/>
          <w:szCs w:val="24"/>
          <w:lang w:eastAsia="zh-CN"/>
        </w:rPr>
      </w:pPr>
      <w:r>
        <w:rPr>
          <w:rFonts w:ascii="Times New Roman" w:hAnsi="Times New Roman" w:eastAsia="宋体" w:cs="Times New Roman"/>
          <w:color w:val="auto"/>
          <w:sz w:val="24"/>
          <w:szCs w:val="24"/>
          <w:lang w:eastAsia="zh-CN"/>
        </w:rPr>
        <w:t>2.1 能够运用数学、自然科学和工程科学的原理和知识，结合数学模型，识别、判断新能源材料与器件工程问题的关键环节。</w:t>
      </w:r>
    </w:p>
    <w:p w14:paraId="49337537">
      <w:pPr>
        <w:widowControl w:val="0"/>
        <w:kinsoku/>
        <w:adjustRightInd/>
        <w:snapToGrid/>
        <w:spacing w:line="360" w:lineRule="auto"/>
        <w:ind w:firstLine="480" w:firstLineChars="200"/>
        <w:jc w:val="both"/>
        <w:textAlignment w:val="auto"/>
        <w:rPr>
          <w:rFonts w:ascii="Times New Roman" w:hAnsi="Times New Roman" w:eastAsia="宋体" w:cs="Times New Roman"/>
          <w:color w:val="auto"/>
          <w:sz w:val="24"/>
          <w:szCs w:val="24"/>
          <w:lang w:eastAsia="zh-CN"/>
        </w:rPr>
      </w:pPr>
      <w:r>
        <w:rPr>
          <w:rFonts w:ascii="Times New Roman" w:hAnsi="Times New Roman" w:eastAsia="宋体" w:cs="Times New Roman"/>
          <w:color w:val="auto"/>
          <w:sz w:val="24"/>
          <w:szCs w:val="24"/>
          <w:lang w:eastAsia="zh-CN"/>
        </w:rPr>
        <w:t>2.2 能够通过对光伏、储能等新能源材料与器件的工程问题进行预测、评估，正确表达复杂工程问题。</w:t>
      </w:r>
    </w:p>
    <w:p w14:paraId="56249812">
      <w:pPr>
        <w:widowControl w:val="0"/>
        <w:kinsoku/>
        <w:adjustRightInd/>
        <w:snapToGrid/>
        <w:spacing w:line="360" w:lineRule="auto"/>
        <w:ind w:firstLine="480" w:firstLineChars="200"/>
        <w:jc w:val="both"/>
        <w:textAlignment w:val="auto"/>
        <w:rPr>
          <w:rFonts w:ascii="Times New Roman" w:hAnsi="Times New Roman" w:eastAsia="宋体" w:cs="Times New Roman"/>
          <w:color w:val="auto"/>
          <w:sz w:val="24"/>
          <w:szCs w:val="24"/>
          <w:lang w:eastAsia="zh-CN"/>
        </w:rPr>
      </w:pPr>
      <w:r>
        <w:rPr>
          <w:rFonts w:ascii="Times New Roman" w:hAnsi="Times New Roman" w:eastAsia="宋体" w:cs="Times New Roman"/>
          <w:color w:val="auto"/>
          <w:sz w:val="24"/>
          <w:szCs w:val="24"/>
          <w:lang w:eastAsia="zh-CN"/>
        </w:rPr>
        <w:t>2.3 能够通过文献研究寻求可替代的解决方案，能够分析光伏、储能等新能源材料与器件开发过程中的影响因素，获得有效结论。</w:t>
      </w:r>
    </w:p>
    <w:p w14:paraId="54EAC341">
      <w:pPr>
        <w:widowControl w:val="0"/>
        <w:kinsoku/>
        <w:adjustRightInd/>
        <w:snapToGrid/>
        <w:spacing w:line="360" w:lineRule="auto"/>
        <w:ind w:firstLine="480" w:firstLineChars="200"/>
        <w:jc w:val="both"/>
        <w:textAlignment w:val="auto"/>
        <w:rPr>
          <w:rFonts w:ascii="Times New Roman" w:hAnsi="Times New Roman" w:eastAsia="宋体" w:cs="Times New Roman"/>
          <w:color w:val="auto"/>
          <w:sz w:val="24"/>
          <w:szCs w:val="24"/>
          <w:lang w:eastAsia="zh-CN"/>
        </w:rPr>
      </w:pPr>
      <w:r>
        <w:rPr>
          <w:rFonts w:ascii="Times New Roman" w:hAnsi="Times New Roman" w:eastAsia="宋体" w:cs="Times New Roman"/>
          <w:color w:val="auto"/>
          <w:sz w:val="24"/>
          <w:szCs w:val="24"/>
          <w:lang w:eastAsia="zh-CN"/>
        </w:rPr>
        <w:t>3</w:t>
      </w:r>
      <w:r>
        <w:rPr>
          <w:rFonts w:hint="eastAsia" w:ascii="Times New Roman" w:hAnsi="Times New Roman" w:eastAsia="宋体" w:cs="Times New Roman"/>
          <w:color w:val="auto"/>
          <w:sz w:val="24"/>
          <w:szCs w:val="24"/>
          <w:lang w:eastAsia="zh-CN"/>
        </w:rPr>
        <w:t xml:space="preserve">. </w:t>
      </w:r>
      <w:r>
        <w:rPr>
          <w:rFonts w:ascii="Times New Roman" w:hAnsi="Times New Roman" w:eastAsia="宋体" w:cs="Times New Roman"/>
          <w:color w:val="auto"/>
          <w:sz w:val="24"/>
          <w:szCs w:val="24"/>
          <w:lang w:eastAsia="zh-CN"/>
        </w:rPr>
        <w:t>设计/开发解决方案：能够针对太阳能光伏发电、电化学储能等新能源材料与器件领域复杂工程问题，制定解决方案，设计出满足需求的材料和器件、技术和工艺流程，并在设计中体现创新意识，同时考虑社会、健康、安全、法律、文化以及环境等因素的影响。</w:t>
      </w:r>
    </w:p>
    <w:p w14:paraId="4D5170D9">
      <w:pPr>
        <w:widowControl w:val="0"/>
        <w:kinsoku/>
        <w:adjustRightInd/>
        <w:snapToGrid/>
        <w:spacing w:line="360" w:lineRule="auto"/>
        <w:ind w:firstLine="480" w:firstLineChars="200"/>
        <w:jc w:val="both"/>
        <w:textAlignment w:val="auto"/>
        <w:rPr>
          <w:rFonts w:ascii="Times New Roman" w:hAnsi="Times New Roman" w:eastAsia="宋体" w:cs="Times New Roman"/>
          <w:color w:val="auto"/>
          <w:sz w:val="24"/>
          <w:szCs w:val="24"/>
          <w:lang w:eastAsia="zh-CN"/>
        </w:rPr>
      </w:pPr>
      <w:r>
        <w:rPr>
          <w:rFonts w:ascii="Times New Roman" w:hAnsi="Times New Roman" w:eastAsia="宋体" w:cs="Times New Roman"/>
          <w:color w:val="auto"/>
          <w:sz w:val="24"/>
          <w:szCs w:val="24"/>
          <w:lang w:eastAsia="zh-CN"/>
        </w:rPr>
        <w:t>3.1 掌握光伏、储能等新能源材料与器件的开发全周期、全流程的方案设计、工艺流程及管理体系，了解影响研究目标和技术方案的各种因素。</w:t>
      </w:r>
    </w:p>
    <w:p w14:paraId="486325AD">
      <w:pPr>
        <w:widowControl w:val="0"/>
        <w:kinsoku/>
        <w:adjustRightInd/>
        <w:snapToGrid/>
        <w:spacing w:line="360" w:lineRule="auto"/>
        <w:ind w:firstLine="480" w:firstLineChars="200"/>
        <w:jc w:val="both"/>
        <w:textAlignment w:val="auto"/>
        <w:rPr>
          <w:rFonts w:ascii="Times New Roman" w:hAnsi="Times New Roman" w:eastAsia="宋体" w:cs="Times New Roman"/>
          <w:color w:val="auto"/>
          <w:sz w:val="24"/>
          <w:szCs w:val="24"/>
          <w:lang w:eastAsia="zh-CN"/>
        </w:rPr>
      </w:pPr>
      <w:r>
        <w:rPr>
          <w:rFonts w:ascii="Times New Roman" w:hAnsi="Times New Roman" w:eastAsia="宋体" w:cs="Times New Roman"/>
          <w:color w:val="auto"/>
          <w:sz w:val="24"/>
          <w:szCs w:val="24"/>
          <w:lang w:eastAsia="zh-CN"/>
        </w:rPr>
        <w:t>3.2 能够针对太阳能利用、电力储能等领域的特定需要，完成新能源材料与器件的设计，并体现创新意识。</w:t>
      </w:r>
    </w:p>
    <w:p w14:paraId="1EA92675">
      <w:pPr>
        <w:widowControl w:val="0"/>
        <w:kinsoku/>
        <w:adjustRightInd/>
        <w:snapToGrid/>
        <w:spacing w:line="360" w:lineRule="auto"/>
        <w:ind w:firstLine="480" w:firstLineChars="200"/>
        <w:jc w:val="both"/>
        <w:textAlignment w:val="auto"/>
        <w:rPr>
          <w:rFonts w:ascii="Times New Roman" w:hAnsi="Times New Roman" w:eastAsia="宋体" w:cs="Times New Roman"/>
          <w:color w:val="auto"/>
          <w:sz w:val="24"/>
          <w:szCs w:val="24"/>
          <w:lang w:eastAsia="zh-CN"/>
        </w:rPr>
      </w:pPr>
      <w:r>
        <w:rPr>
          <w:rFonts w:ascii="Times New Roman" w:hAnsi="Times New Roman" w:eastAsia="宋体" w:cs="Times New Roman"/>
          <w:color w:val="auto"/>
          <w:sz w:val="24"/>
          <w:szCs w:val="24"/>
          <w:lang w:eastAsia="zh-CN"/>
        </w:rPr>
        <w:t>3.3 能够在新能源材料与器件设计中考虑社会、健康、安全、法律、标准、文化以及环境等制约因素。</w:t>
      </w:r>
    </w:p>
    <w:p w14:paraId="5A350A5A">
      <w:pPr>
        <w:widowControl w:val="0"/>
        <w:kinsoku/>
        <w:adjustRightInd/>
        <w:snapToGrid/>
        <w:spacing w:line="360" w:lineRule="auto"/>
        <w:ind w:firstLine="480" w:firstLineChars="200"/>
        <w:jc w:val="both"/>
        <w:textAlignment w:val="auto"/>
        <w:rPr>
          <w:rFonts w:ascii="Times New Roman" w:hAnsi="Times New Roman" w:eastAsia="宋体" w:cs="Times New Roman"/>
          <w:color w:val="auto"/>
          <w:sz w:val="24"/>
          <w:szCs w:val="24"/>
          <w:lang w:eastAsia="zh-CN"/>
        </w:rPr>
      </w:pPr>
      <w:r>
        <w:rPr>
          <w:rFonts w:ascii="Times New Roman" w:hAnsi="Times New Roman" w:eastAsia="宋体" w:cs="Times New Roman"/>
          <w:color w:val="auto"/>
          <w:sz w:val="24"/>
          <w:szCs w:val="24"/>
          <w:lang w:eastAsia="zh-CN"/>
        </w:rPr>
        <w:t>4</w:t>
      </w:r>
      <w:r>
        <w:rPr>
          <w:rFonts w:hint="eastAsia" w:ascii="Times New Roman" w:hAnsi="Times New Roman" w:eastAsia="宋体" w:cs="Times New Roman"/>
          <w:color w:val="auto"/>
          <w:sz w:val="24"/>
          <w:szCs w:val="24"/>
          <w:lang w:eastAsia="zh-CN"/>
        </w:rPr>
        <w:t xml:space="preserve">. </w:t>
      </w:r>
      <w:r>
        <w:rPr>
          <w:rFonts w:ascii="Times New Roman" w:hAnsi="Times New Roman" w:eastAsia="宋体" w:cs="Times New Roman"/>
          <w:color w:val="auto"/>
          <w:sz w:val="24"/>
          <w:szCs w:val="24"/>
          <w:lang w:eastAsia="zh-CN"/>
        </w:rPr>
        <w:t>研究：基于专业基本理论，采用合理研究方法和手段，对新能源材料与器件工程问题进行研究，包括提出设计研究方案、实施实验计划、采集实验数据、分析实验结果、提出解决方案、得出合理有效的结论，以及撰写研究论文或报告。</w:t>
      </w:r>
    </w:p>
    <w:p w14:paraId="3FDB1336">
      <w:pPr>
        <w:widowControl w:val="0"/>
        <w:kinsoku/>
        <w:adjustRightInd/>
        <w:snapToGrid/>
        <w:spacing w:line="360" w:lineRule="auto"/>
        <w:ind w:firstLine="480" w:firstLineChars="200"/>
        <w:jc w:val="both"/>
        <w:textAlignment w:val="auto"/>
        <w:rPr>
          <w:rFonts w:ascii="Times New Roman" w:hAnsi="Times New Roman" w:eastAsia="宋体" w:cs="Times New Roman"/>
          <w:color w:val="auto"/>
          <w:sz w:val="24"/>
          <w:szCs w:val="24"/>
          <w:lang w:eastAsia="zh-CN"/>
        </w:rPr>
      </w:pPr>
      <w:r>
        <w:rPr>
          <w:rFonts w:ascii="Times New Roman" w:hAnsi="Times New Roman" w:eastAsia="宋体" w:cs="Times New Roman"/>
          <w:color w:val="auto"/>
          <w:sz w:val="24"/>
          <w:szCs w:val="24"/>
          <w:lang w:eastAsia="zh-CN"/>
        </w:rPr>
        <w:t>4.1 能够基于科学原理，通过文献研究或相关方法，调研和分析新能源材料与器件工程问题的研究思路和解决方案。</w:t>
      </w:r>
    </w:p>
    <w:p w14:paraId="527CC367">
      <w:pPr>
        <w:widowControl w:val="0"/>
        <w:kinsoku/>
        <w:adjustRightInd/>
        <w:snapToGrid/>
        <w:spacing w:line="360" w:lineRule="auto"/>
        <w:ind w:firstLine="480" w:firstLineChars="200"/>
        <w:jc w:val="both"/>
        <w:textAlignment w:val="auto"/>
        <w:rPr>
          <w:rFonts w:ascii="Times New Roman" w:hAnsi="Times New Roman" w:eastAsia="宋体" w:cs="Times New Roman"/>
          <w:color w:val="auto"/>
          <w:sz w:val="24"/>
          <w:szCs w:val="24"/>
          <w:lang w:eastAsia="zh-CN"/>
        </w:rPr>
      </w:pPr>
      <w:r>
        <w:rPr>
          <w:rFonts w:ascii="Times New Roman" w:hAnsi="Times New Roman" w:eastAsia="宋体" w:cs="Times New Roman"/>
          <w:color w:val="auto"/>
          <w:sz w:val="24"/>
          <w:szCs w:val="24"/>
          <w:lang w:eastAsia="zh-CN"/>
        </w:rPr>
        <w:t>4.2 能够针对新能源材料与器件的复杂工程问题，确定合理的研究路线，设计可行的实验方案。</w:t>
      </w:r>
    </w:p>
    <w:p w14:paraId="17611685">
      <w:pPr>
        <w:widowControl w:val="0"/>
        <w:kinsoku/>
        <w:adjustRightInd/>
        <w:snapToGrid/>
        <w:spacing w:line="360" w:lineRule="auto"/>
        <w:ind w:firstLine="480" w:firstLineChars="200"/>
        <w:jc w:val="both"/>
        <w:textAlignment w:val="auto"/>
        <w:rPr>
          <w:rFonts w:ascii="Times New Roman" w:hAnsi="Times New Roman" w:eastAsia="宋体" w:cs="Times New Roman"/>
          <w:color w:val="auto"/>
          <w:sz w:val="24"/>
          <w:szCs w:val="24"/>
          <w:lang w:eastAsia="zh-CN"/>
        </w:rPr>
      </w:pPr>
      <w:r>
        <w:rPr>
          <w:rFonts w:ascii="Times New Roman" w:hAnsi="Times New Roman" w:eastAsia="宋体" w:cs="Times New Roman"/>
          <w:color w:val="auto"/>
          <w:sz w:val="24"/>
          <w:szCs w:val="24"/>
          <w:lang w:eastAsia="zh-CN"/>
        </w:rPr>
        <w:t>4.3 能够根据实验方案，搭建实验平台，并采用科学的实验方法，安全开展实验。</w:t>
      </w:r>
    </w:p>
    <w:p w14:paraId="02A9A677">
      <w:pPr>
        <w:widowControl w:val="0"/>
        <w:kinsoku/>
        <w:adjustRightInd/>
        <w:snapToGrid/>
        <w:spacing w:line="360" w:lineRule="auto"/>
        <w:ind w:firstLine="480" w:firstLineChars="200"/>
        <w:jc w:val="both"/>
        <w:textAlignment w:val="auto"/>
        <w:rPr>
          <w:rFonts w:ascii="Times New Roman" w:hAnsi="Times New Roman" w:eastAsia="宋体" w:cs="Times New Roman"/>
          <w:color w:val="auto"/>
          <w:sz w:val="24"/>
          <w:szCs w:val="24"/>
          <w:lang w:eastAsia="zh-CN"/>
        </w:rPr>
      </w:pPr>
      <w:r>
        <w:rPr>
          <w:rFonts w:ascii="Times New Roman" w:hAnsi="Times New Roman" w:eastAsia="宋体" w:cs="Times New Roman"/>
          <w:color w:val="auto"/>
          <w:sz w:val="24"/>
          <w:szCs w:val="24"/>
          <w:lang w:eastAsia="zh-CN"/>
        </w:rPr>
        <w:t>4.4 能够正确采集、整理实验数据，对实验结果进行分析和归纳，并通过信息综合得到合理有效的结论，撰写研究论文或报告。</w:t>
      </w:r>
    </w:p>
    <w:p w14:paraId="4163D4E8">
      <w:pPr>
        <w:widowControl w:val="0"/>
        <w:kinsoku/>
        <w:adjustRightInd/>
        <w:snapToGrid/>
        <w:spacing w:line="360" w:lineRule="auto"/>
        <w:ind w:firstLine="480" w:firstLineChars="200"/>
        <w:jc w:val="both"/>
        <w:textAlignment w:val="auto"/>
        <w:rPr>
          <w:rFonts w:ascii="Times New Roman" w:hAnsi="Times New Roman" w:eastAsia="宋体" w:cs="Times New Roman"/>
          <w:color w:val="auto"/>
          <w:sz w:val="24"/>
          <w:szCs w:val="24"/>
          <w:lang w:eastAsia="zh-CN"/>
        </w:rPr>
      </w:pPr>
      <w:r>
        <w:rPr>
          <w:rFonts w:ascii="Times New Roman" w:hAnsi="Times New Roman" w:eastAsia="宋体" w:cs="Times New Roman"/>
          <w:color w:val="auto"/>
          <w:sz w:val="24"/>
          <w:szCs w:val="24"/>
          <w:lang w:eastAsia="zh-CN"/>
        </w:rPr>
        <w:t>5</w:t>
      </w:r>
      <w:r>
        <w:rPr>
          <w:rFonts w:hint="eastAsia" w:ascii="Times New Roman" w:hAnsi="Times New Roman" w:eastAsia="宋体" w:cs="Times New Roman"/>
          <w:color w:val="auto"/>
          <w:sz w:val="24"/>
          <w:szCs w:val="24"/>
          <w:lang w:eastAsia="zh-CN"/>
        </w:rPr>
        <w:t xml:space="preserve">. </w:t>
      </w:r>
      <w:r>
        <w:rPr>
          <w:rFonts w:ascii="Times New Roman" w:hAnsi="Times New Roman" w:eastAsia="宋体" w:cs="Times New Roman"/>
          <w:color w:val="auto"/>
          <w:sz w:val="24"/>
          <w:szCs w:val="24"/>
          <w:lang w:eastAsia="zh-CN"/>
        </w:rPr>
        <w:t>使用现代工具：能够针对新能源材料与器件领域复杂的工程问题，开发、选择与使用恰当的技术、资源、现代工程工具和信息技术工具，包括对复杂工程问题的预测与模拟，并能够理解其局限性。</w:t>
      </w:r>
    </w:p>
    <w:p w14:paraId="2DEBB289">
      <w:pPr>
        <w:widowControl w:val="0"/>
        <w:kinsoku/>
        <w:adjustRightInd/>
        <w:snapToGrid/>
        <w:spacing w:line="360" w:lineRule="auto"/>
        <w:ind w:firstLine="480" w:firstLineChars="200"/>
        <w:jc w:val="both"/>
        <w:textAlignment w:val="auto"/>
        <w:rPr>
          <w:rFonts w:ascii="Times New Roman" w:hAnsi="Times New Roman" w:eastAsia="宋体" w:cs="Times New Roman"/>
          <w:color w:val="auto"/>
          <w:sz w:val="24"/>
          <w:szCs w:val="24"/>
          <w:lang w:eastAsia="zh-CN"/>
        </w:rPr>
      </w:pPr>
      <w:r>
        <w:rPr>
          <w:rFonts w:ascii="Times New Roman" w:hAnsi="Times New Roman" w:eastAsia="宋体" w:cs="Times New Roman"/>
          <w:color w:val="auto"/>
          <w:sz w:val="24"/>
          <w:szCs w:val="24"/>
          <w:lang w:eastAsia="zh-CN"/>
        </w:rPr>
        <w:t>5.1 了解新能源材料与器件专业常用的现代仪器、信息技术工具、工程设备和专业模拟软件的使用原理和方法，并理解其局限性。</w:t>
      </w:r>
    </w:p>
    <w:p w14:paraId="462CEB9D">
      <w:pPr>
        <w:widowControl w:val="0"/>
        <w:kinsoku/>
        <w:adjustRightInd/>
        <w:snapToGrid/>
        <w:spacing w:line="360" w:lineRule="auto"/>
        <w:ind w:firstLine="480" w:firstLineChars="200"/>
        <w:jc w:val="both"/>
        <w:textAlignment w:val="auto"/>
        <w:rPr>
          <w:rFonts w:ascii="Times New Roman" w:hAnsi="Times New Roman" w:eastAsia="宋体" w:cs="Times New Roman"/>
          <w:color w:val="auto"/>
          <w:sz w:val="24"/>
          <w:szCs w:val="24"/>
          <w:lang w:eastAsia="zh-CN"/>
        </w:rPr>
      </w:pPr>
      <w:r>
        <w:rPr>
          <w:rFonts w:ascii="Times New Roman" w:hAnsi="Times New Roman" w:eastAsia="宋体" w:cs="Times New Roman"/>
          <w:color w:val="auto"/>
          <w:sz w:val="24"/>
          <w:szCs w:val="24"/>
          <w:lang w:eastAsia="zh-CN"/>
        </w:rPr>
        <w:t>5.2 能够选择与使用恰当的仪器、信息资源、工程设备和专业模拟软件，对新能源材料与器件工程问题进行分析、设计与仿真模拟。</w:t>
      </w:r>
    </w:p>
    <w:p w14:paraId="4457C891">
      <w:pPr>
        <w:widowControl w:val="0"/>
        <w:kinsoku/>
        <w:adjustRightInd/>
        <w:snapToGrid/>
        <w:spacing w:line="360" w:lineRule="auto"/>
        <w:ind w:firstLine="480" w:firstLineChars="200"/>
        <w:jc w:val="both"/>
        <w:textAlignment w:val="auto"/>
        <w:rPr>
          <w:rFonts w:ascii="Times New Roman" w:hAnsi="Times New Roman" w:eastAsia="宋体" w:cs="Times New Roman"/>
          <w:color w:val="auto"/>
          <w:sz w:val="24"/>
          <w:szCs w:val="24"/>
          <w:lang w:eastAsia="zh-CN"/>
        </w:rPr>
      </w:pPr>
      <w:r>
        <w:rPr>
          <w:rFonts w:ascii="Times New Roman" w:hAnsi="Times New Roman" w:eastAsia="宋体" w:cs="Times New Roman"/>
          <w:color w:val="auto"/>
          <w:sz w:val="24"/>
          <w:szCs w:val="24"/>
          <w:lang w:eastAsia="zh-CN"/>
        </w:rPr>
        <w:t>5.3 能够针对光伏、储能等新能源材料与器件领域的复杂工程问题，开发、选择与使用恰当的现代工具，模拟和预测专业问题，并能够分析其优势和局限性。</w:t>
      </w:r>
    </w:p>
    <w:p w14:paraId="76B6370B">
      <w:pPr>
        <w:widowControl w:val="0"/>
        <w:kinsoku/>
        <w:adjustRightInd/>
        <w:snapToGrid/>
        <w:spacing w:line="360" w:lineRule="auto"/>
        <w:ind w:firstLine="480" w:firstLineChars="200"/>
        <w:jc w:val="both"/>
        <w:textAlignment w:val="auto"/>
        <w:rPr>
          <w:rFonts w:ascii="Times New Roman" w:hAnsi="Times New Roman" w:eastAsia="宋体" w:cs="Times New Roman"/>
          <w:color w:val="auto"/>
          <w:sz w:val="24"/>
          <w:szCs w:val="24"/>
          <w:lang w:eastAsia="zh-CN"/>
        </w:rPr>
      </w:pPr>
      <w:r>
        <w:rPr>
          <w:rFonts w:ascii="Times New Roman" w:hAnsi="Times New Roman" w:eastAsia="宋体" w:cs="Times New Roman"/>
          <w:color w:val="auto"/>
          <w:sz w:val="24"/>
          <w:szCs w:val="24"/>
          <w:lang w:eastAsia="zh-CN"/>
        </w:rPr>
        <w:t>6</w:t>
      </w:r>
      <w:r>
        <w:rPr>
          <w:rFonts w:hint="eastAsia" w:ascii="Times New Roman" w:hAnsi="Times New Roman" w:eastAsia="宋体" w:cs="Times New Roman"/>
          <w:color w:val="auto"/>
          <w:sz w:val="24"/>
          <w:szCs w:val="24"/>
          <w:lang w:eastAsia="zh-CN"/>
        </w:rPr>
        <w:t xml:space="preserve">. </w:t>
      </w:r>
      <w:r>
        <w:rPr>
          <w:rFonts w:ascii="Times New Roman" w:hAnsi="Times New Roman" w:eastAsia="宋体" w:cs="Times New Roman"/>
          <w:color w:val="auto"/>
          <w:sz w:val="24"/>
          <w:szCs w:val="24"/>
          <w:lang w:eastAsia="zh-CN"/>
        </w:rPr>
        <w:t>工程与社会：能够运用工程理论及新能源材料与器件相关背景知识，分析、评价专业工程实践和复杂工程问题的解决方案对社会、健康、安全、法律以及文化的影响，并理解应承担的责任。</w:t>
      </w:r>
    </w:p>
    <w:p w14:paraId="476A8F11">
      <w:pPr>
        <w:widowControl w:val="0"/>
        <w:kinsoku/>
        <w:adjustRightInd/>
        <w:snapToGrid/>
        <w:spacing w:line="360" w:lineRule="auto"/>
        <w:ind w:firstLine="480" w:firstLineChars="200"/>
        <w:jc w:val="both"/>
        <w:textAlignment w:val="auto"/>
        <w:rPr>
          <w:rFonts w:ascii="Times New Roman" w:hAnsi="Times New Roman" w:eastAsia="宋体" w:cs="Times New Roman"/>
          <w:color w:val="auto"/>
          <w:sz w:val="24"/>
          <w:szCs w:val="24"/>
          <w:lang w:eastAsia="zh-CN"/>
        </w:rPr>
      </w:pPr>
      <w:r>
        <w:rPr>
          <w:rFonts w:ascii="Times New Roman" w:hAnsi="Times New Roman" w:eastAsia="宋体" w:cs="Times New Roman"/>
          <w:color w:val="auto"/>
          <w:sz w:val="24"/>
          <w:szCs w:val="24"/>
          <w:lang w:eastAsia="zh-CN"/>
        </w:rPr>
        <w:t>6.1 了解新能源材料与器件领域相关技术标准、知识产权、产业政策和法律法规，理解不同社会文化对工程活动的影响。</w:t>
      </w:r>
    </w:p>
    <w:p w14:paraId="5DFF5292">
      <w:pPr>
        <w:widowControl w:val="0"/>
        <w:kinsoku/>
        <w:adjustRightInd/>
        <w:snapToGrid/>
        <w:spacing w:line="360" w:lineRule="auto"/>
        <w:ind w:firstLine="480" w:firstLineChars="200"/>
        <w:jc w:val="both"/>
        <w:textAlignment w:val="auto"/>
        <w:rPr>
          <w:rFonts w:ascii="Times New Roman" w:hAnsi="Times New Roman" w:eastAsia="宋体" w:cs="Times New Roman"/>
          <w:color w:val="auto"/>
          <w:sz w:val="24"/>
          <w:szCs w:val="24"/>
          <w:lang w:eastAsia="zh-CN"/>
        </w:rPr>
      </w:pPr>
      <w:r>
        <w:rPr>
          <w:rFonts w:ascii="Times New Roman" w:hAnsi="Times New Roman" w:eastAsia="宋体" w:cs="Times New Roman"/>
          <w:color w:val="auto"/>
          <w:sz w:val="24"/>
          <w:szCs w:val="24"/>
          <w:lang w:eastAsia="zh-CN"/>
        </w:rPr>
        <w:t>6.2 能够客观评价新能源材料与器件工程实践和新技术、新工艺对社会、健康、安全、法律以及文化的影响，理解应承担的责任。</w:t>
      </w:r>
    </w:p>
    <w:p w14:paraId="270F8B40">
      <w:pPr>
        <w:widowControl w:val="0"/>
        <w:kinsoku/>
        <w:adjustRightInd/>
        <w:snapToGrid/>
        <w:spacing w:line="360" w:lineRule="auto"/>
        <w:ind w:firstLine="480" w:firstLineChars="200"/>
        <w:jc w:val="both"/>
        <w:textAlignment w:val="auto"/>
        <w:rPr>
          <w:rFonts w:ascii="Times New Roman" w:hAnsi="Times New Roman" w:eastAsia="宋体" w:cs="Times New Roman"/>
          <w:color w:val="auto"/>
          <w:sz w:val="24"/>
          <w:szCs w:val="24"/>
          <w:lang w:eastAsia="zh-CN"/>
        </w:rPr>
      </w:pPr>
      <w:r>
        <w:rPr>
          <w:rFonts w:ascii="Times New Roman" w:hAnsi="Times New Roman" w:eastAsia="宋体" w:cs="Times New Roman"/>
          <w:color w:val="auto"/>
          <w:sz w:val="24"/>
          <w:szCs w:val="24"/>
          <w:lang w:eastAsia="zh-CN"/>
        </w:rPr>
        <w:t>7</w:t>
      </w:r>
      <w:r>
        <w:rPr>
          <w:rFonts w:hint="eastAsia" w:ascii="Times New Roman" w:hAnsi="Times New Roman" w:eastAsia="宋体" w:cs="Times New Roman"/>
          <w:color w:val="auto"/>
          <w:sz w:val="24"/>
          <w:szCs w:val="24"/>
          <w:lang w:eastAsia="zh-CN"/>
        </w:rPr>
        <w:t xml:space="preserve">. </w:t>
      </w:r>
      <w:r>
        <w:rPr>
          <w:rFonts w:ascii="Times New Roman" w:hAnsi="Times New Roman" w:eastAsia="宋体" w:cs="Times New Roman"/>
          <w:color w:val="auto"/>
          <w:sz w:val="24"/>
          <w:szCs w:val="24"/>
          <w:lang w:eastAsia="zh-CN"/>
        </w:rPr>
        <w:t>了解环境保护和可持续发展的理念和内涵，能够理解和评价光伏、储能等新能源材料与器件领域工程实践对环境、社会可持续发展的影响。</w:t>
      </w:r>
    </w:p>
    <w:p w14:paraId="1A5DD26C">
      <w:pPr>
        <w:widowControl w:val="0"/>
        <w:kinsoku/>
        <w:adjustRightInd/>
        <w:snapToGrid/>
        <w:spacing w:line="360" w:lineRule="auto"/>
        <w:ind w:firstLine="480" w:firstLineChars="200"/>
        <w:jc w:val="both"/>
        <w:textAlignment w:val="auto"/>
        <w:rPr>
          <w:rFonts w:ascii="Times New Roman" w:hAnsi="Times New Roman" w:eastAsia="宋体" w:cs="Times New Roman"/>
          <w:color w:val="auto"/>
          <w:sz w:val="24"/>
          <w:szCs w:val="24"/>
          <w:lang w:eastAsia="zh-CN"/>
        </w:rPr>
      </w:pPr>
      <w:r>
        <w:rPr>
          <w:rFonts w:ascii="Times New Roman" w:hAnsi="Times New Roman" w:eastAsia="宋体" w:cs="Times New Roman"/>
          <w:color w:val="auto"/>
          <w:sz w:val="24"/>
          <w:szCs w:val="24"/>
          <w:lang w:eastAsia="zh-CN"/>
        </w:rPr>
        <w:t>7.1 了解当前环境保护和可持续发展的理念和内涵，理解社会可持续发展的重要性，具备社会责任感，熟悉环境保护相关法律。</w:t>
      </w:r>
    </w:p>
    <w:p w14:paraId="1C5E273E">
      <w:pPr>
        <w:widowControl w:val="0"/>
        <w:kinsoku/>
        <w:adjustRightInd/>
        <w:snapToGrid/>
        <w:spacing w:line="360" w:lineRule="auto"/>
        <w:ind w:firstLine="480" w:firstLineChars="200"/>
        <w:jc w:val="both"/>
        <w:textAlignment w:val="auto"/>
        <w:rPr>
          <w:rFonts w:ascii="Times New Roman" w:hAnsi="Times New Roman" w:eastAsia="宋体" w:cs="Times New Roman"/>
          <w:color w:val="auto"/>
          <w:sz w:val="24"/>
          <w:szCs w:val="24"/>
          <w:lang w:eastAsia="zh-CN"/>
        </w:rPr>
      </w:pPr>
      <w:r>
        <w:rPr>
          <w:rFonts w:ascii="Times New Roman" w:hAnsi="Times New Roman" w:eastAsia="宋体" w:cs="Times New Roman"/>
          <w:color w:val="auto"/>
          <w:sz w:val="24"/>
          <w:szCs w:val="24"/>
          <w:lang w:eastAsia="zh-CN"/>
        </w:rPr>
        <w:t>7.2 能够理解和客观评价新能源材料与器件工程实践对环境和社会可持续发展的影响，以及新能源材料与器件生命周期中可能对人类和环境造成的影响和隐患。</w:t>
      </w:r>
    </w:p>
    <w:p w14:paraId="63143D3A">
      <w:pPr>
        <w:widowControl w:val="0"/>
        <w:kinsoku/>
        <w:adjustRightInd/>
        <w:snapToGrid/>
        <w:spacing w:line="360" w:lineRule="auto"/>
        <w:ind w:firstLine="480" w:firstLineChars="200"/>
        <w:jc w:val="both"/>
        <w:textAlignment w:val="auto"/>
        <w:rPr>
          <w:rFonts w:ascii="Times New Roman" w:hAnsi="Times New Roman" w:eastAsia="宋体" w:cs="Times New Roman"/>
          <w:color w:val="auto"/>
          <w:sz w:val="24"/>
          <w:szCs w:val="24"/>
          <w:lang w:eastAsia="zh-CN"/>
        </w:rPr>
      </w:pPr>
      <w:r>
        <w:rPr>
          <w:rFonts w:ascii="Times New Roman" w:hAnsi="Times New Roman" w:eastAsia="宋体" w:cs="Times New Roman"/>
          <w:color w:val="auto"/>
          <w:sz w:val="24"/>
          <w:szCs w:val="24"/>
          <w:lang w:eastAsia="zh-CN"/>
        </w:rPr>
        <w:t>8</w:t>
      </w:r>
      <w:r>
        <w:rPr>
          <w:rFonts w:hint="eastAsia" w:ascii="Times New Roman" w:hAnsi="Times New Roman" w:eastAsia="宋体" w:cs="Times New Roman"/>
          <w:color w:val="auto"/>
          <w:sz w:val="24"/>
          <w:szCs w:val="24"/>
          <w:lang w:eastAsia="zh-CN"/>
        </w:rPr>
        <w:t xml:space="preserve">. </w:t>
      </w:r>
      <w:r>
        <w:rPr>
          <w:rFonts w:ascii="Times New Roman" w:hAnsi="Times New Roman" w:eastAsia="宋体" w:cs="Times New Roman"/>
          <w:color w:val="auto"/>
          <w:sz w:val="24"/>
          <w:szCs w:val="24"/>
          <w:lang w:eastAsia="zh-CN"/>
        </w:rPr>
        <w:t>职业规范：具有人文社会科学素养、社会责任感，能够在新能源材料与器件工程实践中理解并遵守工程职业道德和规范，履行责任。</w:t>
      </w:r>
    </w:p>
    <w:p w14:paraId="1A7DD3C2">
      <w:pPr>
        <w:widowControl w:val="0"/>
        <w:kinsoku/>
        <w:adjustRightInd/>
        <w:snapToGrid/>
        <w:spacing w:line="360" w:lineRule="auto"/>
        <w:ind w:firstLine="480" w:firstLineChars="200"/>
        <w:jc w:val="both"/>
        <w:textAlignment w:val="auto"/>
        <w:rPr>
          <w:rFonts w:ascii="Times New Roman" w:hAnsi="Times New Roman" w:eastAsia="宋体" w:cs="Times New Roman"/>
          <w:color w:val="auto"/>
          <w:sz w:val="24"/>
          <w:szCs w:val="24"/>
          <w:lang w:eastAsia="zh-CN"/>
        </w:rPr>
      </w:pPr>
      <w:r>
        <w:rPr>
          <w:rFonts w:ascii="Times New Roman" w:hAnsi="Times New Roman" w:eastAsia="宋体" w:cs="Times New Roman"/>
          <w:color w:val="auto"/>
          <w:sz w:val="24"/>
          <w:szCs w:val="24"/>
          <w:lang w:eastAsia="zh-CN"/>
        </w:rPr>
        <w:t>8.1 树立正确的世界观、人生观和价值观，理解个人与社会的关系，了解中国国情，具备人文素养和社会责任感。</w:t>
      </w:r>
    </w:p>
    <w:p w14:paraId="68316C5A">
      <w:pPr>
        <w:widowControl w:val="0"/>
        <w:kinsoku/>
        <w:adjustRightInd/>
        <w:snapToGrid/>
        <w:spacing w:line="360" w:lineRule="auto"/>
        <w:ind w:firstLine="480" w:firstLineChars="200"/>
        <w:jc w:val="both"/>
        <w:textAlignment w:val="auto"/>
        <w:rPr>
          <w:rFonts w:ascii="Times New Roman" w:hAnsi="Times New Roman" w:eastAsia="宋体" w:cs="Times New Roman"/>
          <w:color w:val="auto"/>
          <w:sz w:val="24"/>
          <w:szCs w:val="24"/>
          <w:lang w:eastAsia="zh-CN"/>
        </w:rPr>
      </w:pPr>
      <w:r>
        <w:rPr>
          <w:rFonts w:ascii="Times New Roman" w:hAnsi="Times New Roman" w:eastAsia="宋体" w:cs="Times New Roman"/>
          <w:color w:val="auto"/>
          <w:sz w:val="24"/>
          <w:szCs w:val="24"/>
          <w:lang w:eastAsia="zh-CN"/>
        </w:rPr>
        <w:t>8.2 能够在工程实践中理解并遵守工程职业道德和规范，并自觉履行责任。</w:t>
      </w:r>
    </w:p>
    <w:p w14:paraId="4B169F59">
      <w:pPr>
        <w:widowControl w:val="0"/>
        <w:kinsoku/>
        <w:adjustRightInd/>
        <w:snapToGrid/>
        <w:spacing w:line="360" w:lineRule="auto"/>
        <w:ind w:firstLine="480" w:firstLineChars="200"/>
        <w:jc w:val="both"/>
        <w:textAlignment w:val="auto"/>
        <w:rPr>
          <w:rFonts w:ascii="Times New Roman" w:hAnsi="Times New Roman" w:eastAsia="宋体" w:cs="Times New Roman"/>
          <w:color w:val="auto"/>
          <w:sz w:val="24"/>
          <w:szCs w:val="24"/>
          <w:lang w:eastAsia="zh-CN"/>
        </w:rPr>
      </w:pPr>
      <w:r>
        <w:rPr>
          <w:rFonts w:ascii="Times New Roman" w:hAnsi="Times New Roman" w:eastAsia="宋体" w:cs="Times New Roman"/>
          <w:color w:val="auto"/>
          <w:sz w:val="24"/>
          <w:szCs w:val="24"/>
          <w:lang w:eastAsia="zh-CN"/>
        </w:rPr>
        <w:t>9</w:t>
      </w:r>
      <w:r>
        <w:rPr>
          <w:rFonts w:hint="eastAsia" w:ascii="Times New Roman" w:hAnsi="Times New Roman" w:eastAsia="宋体" w:cs="Times New Roman"/>
          <w:color w:val="auto"/>
          <w:sz w:val="24"/>
          <w:szCs w:val="24"/>
          <w:lang w:eastAsia="zh-CN"/>
        </w:rPr>
        <w:t xml:space="preserve">. </w:t>
      </w:r>
      <w:r>
        <w:rPr>
          <w:rFonts w:ascii="Times New Roman" w:hAnsi="Times New Roman" w:eastAsia="宋体" w:cs="Times New Roman"/>
          <w:color w:val="auto"/>
          <w:sz w:val="24"/>
          <w:szCs w:val="24"/>
          <w:lang w:eastAsia="zh-CN"/>
        </w:rPr>
        <w:t>个人和团队：能够在材料、化工、电气等多学科背景下的团队中承担个体、团队成员以及负责人的角色。</w:t>
      </w:r>
    </w:p>
    <w:p w14:paraId="3DEBED54">
      <w:pPr>
        <w:widowControl w:val="0"/>
        <w:kinsoku/>
        <w:adjustRightInd/>
        <w:snapToGrid/>
        <w:spacing w:line="360" w:lineRule="auto"/>
        <w:ind w:firstLine="480" w:firstLineChars="200"/>
        <w:jc w:val="both"/>
        <w:textAlignment w:val="auto"/>
        <w:rPr>
          <w:rFonts w:ascii="Times New Roman" w:hAnsi="Times New Roman" w:eastAsia="宋体" w:cs="Times New Roman"/>
          <w:color w:val="auto"/>
          <w:sz w:val="24"/>
          <w:szCs w:val="24"/>
          <w:lang w:eastAsia="zh-CN"/>
        </w:rPr>
      </w:pPr>
      <w:r>
        <w:rPr>
          <w:rFonts w:ascii="Times New Roman" w:hAnsi="Times New Roman" w:eastAsia="宋体" w:cs="Times New Roman"/>
          <w:color w:val="auto"/>
          <w:sz w:val="24"/>
          <w:szCs w:val="24"/>
          <w:lang w:eastAsia="zh-CN"/>
        </w:rPr>
        <w:t>9.1 理解团队中每个角色的定位和作用，能够与其他学科的成员有效沟通、合作开展工作，具有团队合作意识。</w:t>
      </w:r>
    </w:p>
    <w:p w14:paraId="1EFC7ABF">
      <w:pPr>
        <w:widowControl w:val="0"/>
        <w:kinsoku/>
        <w:adjustRightInd/>
        <w:snapToGrid/>
        <w:spacing w:line="360" w:lineRule="auto"/>
        <w:ind w:firstLine="480" w:firstLineChars="200"/>
        <w:jc w:val="both"/>
        <w:textAlignment w:val="auto"/>
        <w:rPr>
          <w:rFonts w:ascii="Times New Roman" w:hAnsi="Times New Roman" w:eastAsia="宋体" w:cs="Times New Roman"/>
          <w:color w:val="auto"/>
          <w:sz w:val="24"/>
          <w:szCs w:val="24"/>
          <w:lang w:eastAsia="zh-CN"/>
        </w:rPr>
      </w:pPr>
      <w:r>
        <w:rPr>
          <w:rFonts w:ascii="Times New Roman" w:hAnsi="Times New Roman" w:eastAsia="宋体" w:cs="Times New Roman"/>
          <w:color w:val="auto"/>
          <w:sz w:val="24"/>
          <w:szCs w:val="24"/>
          <w:lang w:eastAsia="zh-CN"/>
        </w:rPr>
        <w:t>9.2  能够在多学科交叉背景下，主动承担个体、团队成员和负责人的角色。</w:t>
      </w:r>
    </w:p>
    <w:p w14:paraId="56FDB2F3">
      <w:pPr>
        <w:widowControl w:val="0"/>
        <w:kinsoku/>
        <w:adjustRightInd/>
        <w:snapToGrid/>
        <w:spacing w:line="360" w:lineRule="auto"/>
        <w:ind w:firstLine="480" w:firstLineChars="200"/>
        <w:jc w:val="both"/>
        <w:textAlignment w:val="auto"/>
        <w:rPr>
          <w:rFonts w:ascii="Times New Roman" w:hAnsi="Times New Roman" w:eastAsia="宋体" w:cs="Times New Roman"/>
          <w:color w:val="auto"/>
          <w:sz w:val="24"/>
          <w:szCs w:val="24"/>
          <w:lang w:eastAsia="zh-CN"/>
        </w:rPr>
      </w:pPr>
      <w:r>
        <w:rPr>
          <w:rFonts w:ascii="Times New Roman" w:hAnsi="Times New Roman" w:eastAsia="宋体" w:cs="Times New Roman"/>
          <w:color w:val="auto"/>
          <w:sz w:val="24"/>
          <w:szCs w:val="24"/>
          <w:lang w:eastAsia="zh-CN"/>
        </w:rPr>
        <w:t>10</w:t>
      </w:r>
      <w:r>
        <w:rPr>
          <w:rFonts w:hint="eastAsia" w:ascii="Times New Roman" w:hAnsi="Times New Roman" w:eastAsia="宋体" w:cs="Times New Roman"/>
          <w:color w:val="auto"/>
          <w:sz w:val="24"/>
          <w:szCs w:val="24"/>
          <w:lang w:eastAsia="zh-CN"/>
        </w:rPr>
        <w:t xml:space="preserve">. </w:t>
      </w:r>
      <w:r>
        <w:rPr>
          <w:rFonts w:ascii="Times New Roman" w:hAnsi="Times New Roman" w:eastAsia="宋体" w:cs="Times New Roman"/>
          <w:color w:val="auto"/>
          <w:sz w:val="24"/>
          <w:szCs w:val="24"/>
          <w:lang w:eastAsia="zh-CN"/>
        </w:rPr>
        <w:t>沟通：能够就新能源材料与器件领域复杂工程问题与业界同行及社会公众进行有效沟通和交流，包括设计文稿、撰写报告、陈述发言、清晰表达或回应指令，并具备一定的国际视野，能够在跨文化背景下进行基本的沟通和交流。</w:t>
      </w:r>
    </w:p>
    <w:p w14:paraId="5DC6EBA4">
      <w:pPr>
        <w:widowControl w:val="0"/>
        <w:kinsoku/>
        <w:adjustRightInd/>
        <w:snapToGrid/>
        <w:spacing w:line="360" w:lineRule="auto"/>
        <w:ind w:firstLine="480" w:firstLineChars="200"/>
        <w:jc w:val="both"/>
        <w:textAlignment w:val="auto"/>
        <w:rPr>
          <w:rFonts w:ascii="Times New Roman" w:hAnsi="Times New Roman" w:eastAsia="宋体" w:cs="Times New Roman"/>
          <w:color w:val="auto"/>
          <w:sz w:val="24"/>
          <w:szCs w:val="24"/>
          <w:lang w:eastAsia="zh-CN"/>
        </w:rPr>
      </w:pPr>
      <w:r>
        <w:rPr>
          <w:rFonts w:ascii="Times New Roman" w:hAnsi="Times New Roman" w:eastAsia="宋体" w:cs="Times New Roman"/>
          <w:color w:val="auto"/>
          <w:sz w:val="24"/>
          <w:szCs w:val="24"/>
          <w:lang w:eastAsia="zh-CN"/>
        </w:rPr>
        <w:t>10.1 能够针对新能源材料与器件领域的基本科学和工程问题，以口头、文稿、图表等方式，准确表达自己的观点，回应质疑，理解与业界同行和社会公众交流的差异性。</w:t>
      </w:r>
    </w:p>
    <w:p w14:paraId="334AEAD7">
      <w:pPr>
        <w:widowControl w:val="0"/>
        <w:kinsoku/>
        <w:adjustRightInd/>
        <w:snapToGrid/>
        <w:spacing w:line="360" w:lineRule="auto"/>
        <w:ind w:firstLine="480" w:firstLineChars="200"/>
        <w:jc w:val="both"/>
        <w:textAlignment w:val="auto"/>
        <w:rPr>
          <w:rFonts w:ascii="Times New Roman" w:hAnsi="Times New Roman" w:eastAsia="宋体" w:cs="Times New Roman"/>
          <w:color w:val="auto"/>
          <w:sz w:val="24"/>
          <w:szCs w:val="24"/>
          <w:lang w:eastAsia="zh-CN"/>
        </w:rPr>
      </w:pPr>
      <w:r>
        <w:rPr>
          <w:rFonts w:ascii="Times New Roman" w:hAnsi="Times New Roman" w:eastAsia="宋体" w:cs="Times New Roman"/>
          <w:color w:val="auto"/>
          <w:sz w:val="24"/>
          <w:szCs w:val="24"/>
          <w:lang w:eastAsia="zh-CN"/>
        </w:rPr>
        <w:t>10.2 了解新能源材料与器件领域的国际发展趋势和研究热点，理解和尊重世界不同文化的多样性和差异性。</w:t>
      </w:r>
    </w:p>
    <w:p w14:paraId="5C200209">
      <w:pPr>
        <w:widowControl w:val="0"/>
        <w:kinsoku/>
        <w:adjustRightInd/>
        <w:snapToGrid/>
        <w:spacing w:line="360" w:lineRule="auto"/>
        <w:ind w:firstLine="480" w:firstLineChars="200"/>
        <w:jc w:val="both"/>
        <w:textAlignment w:val="auto"/>
        <w:rPr>
          <w:rFonts w:ascii="Times New Roman" w:hAnsi="Times New Roman" w:eastAsia="宋体" w:cs="Times New Roman"/>
          <w:color w:val="auto"/>
          <w:sz w:val="24"/>
          <w:szCs w:val="24"/>
          <w:lang w:eastAsia="zh-CN"/>
        </w:rPr>
      </w:pPr>
      <w:r>
        <w:rPr>
          <w:rFonts w:ascii="Times New Roman" w:hAnsi="Times New Roman" w:eastAsia="宋体" w:cs="Times New Roman"/>
          <w:color w:val="auto"/>
          <w:sz w:val="24"/>
          <w:szCs w:val="24"/>
          <w:lang w:eastAsia="zh-CN"/>
        </w:rPr>
        <w:t>10.3 具备良好的外语听说读写能力，能够就新能源材料与器件专业问题，在跨文化背景下进行基本的沟通和交流。</w:t>
      </w:r>
    </w:p>
    <w:p w14:paraId="52FAFB7E">
      <w:pPr>
        <w:widowControl w:val="0"/>
        <w:kinsoku/>
        <w:adjustRightInd/>
        <w:snapToGrid/>
        <w:spacing w:line="360" w:lineRule="auto"/>
        <w:ind w:firstLine="480" w:firstLineChars="200"/>
        <w:jc w:val="both"/>
        <w:textAlignment w:val="auto"/>
        <w:rPr>
          <w:rFonts w:ascii="Times New Roman" w:hAnsi="Times New Roman" w:eastAsia="宋体" w:cs="Times New Roman"/>
          <w:color w:val="auto"/>
          <w:sz w:val="24"/>
          <w:szCs w:val="24"/>
          <w:lang w:eastAsia="zh-CN"/>
        </w:rPr>
      </w:pPr>
      <w:r>
        <w:rPr>
          <w:rFonts w:ascii="Times New Roman" w:hAnsi="Times New Roman" w:eastAsia="宋体" w:cs="Times New Roman"/>
          <w:color w:val="auto"/>
          <w:sz w:val="24"/>
          <w:szCs w:val="24"/>
          <w:lang w:eastAsia="zh-CN"/>
        </w:rPr>
        <w:t>11</w:t>
      </w:r>
      <w:r>
        <w:rPr>
          <w:rFonts w:hint="eastAsia" w:ascii="Times New Roman" w:hAnsi="Times New Roman" w:eastAsia="宋体" w:cs="Times New Roman"/>
          <w:color w:val="auto"/>
          <w:sz w:val="24"/>
          <w:szCs w:val="24"/>
          <w:lang w:eastAsia="zh-CN"/>
        </w:rPr>
        <w:t xml:space="preserve">. </w:t>
      </w:r>
      <w:r>
        <w:rPr>
          <w:rFonts w:ascii="Times New Roman" w:hAnsi="Times New Roman" w:eastAsia="宋体" w:cs="Times New Roman"/>
          <w:color w:val="auto"/>
          <w:sz w:val="24"/>
          <w:szCs w:val="24"/>
          <w:lang w:eastAsia="zh-CN"/>
        </w:rPr>
        <w:t>项目管理：理解并掌握光伏、储能等新能源材料与器件工程项目中涉及的管理原理与经济决策方法，并能够在多学科环境中应用。</w:t>
      </w:r>
    </w:p>
    <w:p w14:paraId="018F0404">
      <w:pPr>
        <w:widowControl w:val="0"/>
        <w:kinsoku/>
        <w:adjustRightInd/>
        <w:snapToGrid/>
        <w:spacing w:line="360" w:lineRule="auto"/>
        <w:ind w:firstLine="480" w:firstLineChars="200"/>
        <w:jc w:val="both"/>
        <w:textAlignment w:val="auto"/>
        <w:rPr>
          <w:rFonts w:ascii="Times New Roman" w:hAnsi="Times New Roman" w:eastAsia="宋体" w:cs="Times New Roman"/>
          <w:color w:val="auto"/>
          <w:sz w:val="24"/>
          <w:szCs w:val="24"/>
          <w:lang w:eastAsia="zh-CN"/>
        </w:rPr>
      </w:pPr>
      <w:r>
        <w:rPr>
          <w:rFonts w:ascii="Times New Roman" w:hAnsi="Times New Roman" w:eastAsia="宋体" w:cs="Times New Roman"/>
          <w:color w:val="auto"/>
          <w:sz w:val="24"/>
          <w:szCs w:val="24"/>
          <w:lang w:eastAsia="zh-CN"/>
        </w:rPr>
        <w:t>11.1 掌握光伏、储能等新能源材料与器件工程活动中涉及的管理原理与经济决策方法，了解工程及产品全周期、全流程的成本构成，理解其中涉及的工程管理与经济决策问题。</w:t>
      </w:r>
    </w:p>
    <w:p w14:paraId="6699CEDD">
      <w:pPr>
        <w:widowControl w:val="0"/>
        <w:kinsoku/>
        <w:adjustRightInd/>
        <w:snapToGrid/>
        <w:spacing w:line="360" w:lineRule="auto"/>
        <w:ind w:firstLine="480" w:firstLineChars="200"/>
        <w:jc w:val="both"/>
        <w:textAlignment w:val="auto"/>
        <w:rPr>
          <w:rFonts w:ascii="Times New Roman" w:hAnsi="Times New Roman" w:eastAsia="宋体" w:cs="Times New Roman"/>
          <w:color w:val="auto"/>
          <w:sz w:val="24"/>
          <w:szCs w:val="24"/>
          <w:lang w:eastAsia="zh-CN"/>
        </w:rPr>
      </w:pPr>
      <w:r>
        <w:rPr>
          <w:rFonts w:ascii="Times New Roman" w:hAnsi="Times New Roman" w:eastAsia="宋体" w:cs="Times New Roman"/>
          <w:color w:val="auto"/>
          <w:sz w:val="24"/>
          <w:szCs w:val="24"/>
          <w:lang w:eastAsia="zh-CN"/>
        </w:rPr>
        <w:t>11.2 能够在多学科环境中，根据新能源材料与器件领域复杂工程项目的特征，合理运用工程管理原理与经济决策方法。</w:t>
      </w:r>
    </w:p>
    <w:p w14:paraId="35A1E415">
      <w:pPr>
        <w:widowControl w:val="0"/>
        <w:kinsoku/>
        <w:adjustRightInd/>
        <w:snapToGrid/>
        <w:spacing w:line="360" w:lineRule="auto"/>
        <w:ind w:firstLine="480" w:firstLineChars="200"/>
        <w:jc w:val="both"/>
        <w:textAlignment w:val="auto"/>
        <w:rPr>
          <w:rFonts w:ascii="Times New Roman" w:hAnsi="Times New Roman" w:eastAsia="宋体" w:cs="Times New Roman"/>
          <w:color w:val="auto"/>
          <w:sz w:val="24"/>
          <w:szCs w:val="24"/>
          <w:lang w:eastAsia="zh-CN"/>
        </w:rPr>
      </w:pPr>
      <w:r>
        <w:rPr>
          <w:rFonts w:ascii="Times New Roman" w:hAnsi="Times New Roman" w:eastAsia="宋体" w:cs="Times New Roman"/>
          <w:color w:val="auto"/>
          <w:sz w:val="24"/>
          <w:szCs w:val="24"/>
          <w:lang w:eastAsia="zh-CN"/>
        </w:rPr>
        <w:t>12</w:t>
      </w:r>
      <w:r>
        <w:rPr>
          <w:rFonts w:hint="eastAsia" w:ascii="Times New Roman" w:hAnsi="Times New Roman" w:eastAsia="宋体" w:cs="Times New Roman"/>
          <w:color w:val="auto"/>
          <w:sz w:val="24"/>
          <w:szCs w:val="24"/>
          <w:lang w:eastAsia="zh-CN"/>
        </w:rPr>
        <w:t xml:space="preserve">. </w:t>
      </w:r>
      <w:r>
        <w:rPr>
          <w:rFonts w:ascii="Times New Roman" w:hAnsi="Times New Roman" w:eastAsia="宋体" w:cs="Times New Roman"/>
          <w:color w:val="auto"/>
          <w:sz w:val="24"/>
          <w:szCs w:val="24"/>
          <w:lang w:eastAsia="zh-CN"/>
        </w:rPr>
        <w:t>终身学习：具有自主学习和终身学习的意识，有不断学习和适应发展的能力。</w:t>
      </w:r>
    </w:p>
    <w:p w14:paraId="1EB7B8DF">
      <w:pPr>
        <w:widowControl w:val="0"/>
        <w:kinsoku/>
        <w:adjustRightInd/>
        <w:snapToGrid/>
        <w:spacing w:line="360" w:lineRule="auto"/>
        <w:ind w:firstLine="480" w:firstLineChars="200"/>
        <w:jc w:val="both"/>
        <w:textAlignment w:val="auto"/>
        <w:rPr>
          <w:rFonts w:ascii="Times New Roman" w:hAnsi="Times New Roman" w:eastAsia="宋体" w:cs="Times New Roman"/>
          <w:color w:val="auto"/>
          <w:sz w:val="24"/>
          <w:szCs w:val="24"/>
          <w:lang w:eastAsia="zh-CN"/>
        </w:rPr>
      </w:pPr>
      <w:r>
        <w:rPr>
          <w:rFonts w:ascii="Times New Roman" w:hAnsi="Times New Roman" w:eastAsia="宋体" w:cs="Times New Roman"/>
          <w:color w:val="auto"/>
          <w:sz w:val="24"/>
          <w:szCs w:val="24"/>
          <w:lang w:eastAsia="zh-CN"/>
        </w:rPr>
        <w:t>12.1 能够在社会发展的大背景下，认识到自主和终身学习的必要性。</w:t>
      </w:r>
    </w:p>
    <w:p w14:paraId="093C022E">
      <w:pPr>
        <w:widowControl w:val="0"/>
        <w:kinsoku/>
        <w:adjustRightInd/>
        <w:snapToGrid/>
        <w:spacing w:line="360" w:lineRule="auto"/>
        <w:ind w:firstLine="480" w:firstLineChars="200"/>
        <w:jc w:val="both"/>
        <w:textAlignment w:val="auto"/>
        <w:rPr>
          <w:rFonts w:ascii="Times New Roman" w:hAnsi="Times New Roman" w:eastAsia="宋体" w:cs="Times New Roman"/>
          <w:color w:val="auto"/>
          <w:sz w:val="24"/>
          <w:szCs w:val="24"/>
          <w:lang w:eastAsia="zh-CN"/>
        </w:rPr>
      </w:pPr>
      <w:r>
        <w:rPr>
          <w:rFonts w:ascii="Times New Roman" w:hAnsi="Times New Roman" w:eastAsia="宋体" w:cs="Times New Roman"/>
          <w:color w:val="auto"/>
          <w:sz w:val="24"/>
          <w:szCs w:val="24"/>
          <w:lang w:eastAsia="zh-CN"/>
        </w:rPr>
        <w:t>12.2 具备对技术问题的理解、归纳总结并提出问题的自主学习能力。</w:t>
      </w:r>
    </w:p>
    <w:p w14:paraId="5E2C56E8">
      <w:pPr>
        <w:widowControl w:val="0"/>
        <w:kinsoku/>
        <w:adjustRightInd/>
        <w:snapToGrid/>
        <w:spacing w:line="360" w:lineRule="auto"/>
        <w:ind w:firstLine="480" w:firstLineChars="200"/>
        <w:jc w:val="both"/>
        <w:textAlignment w:val="auto"/>
        <w:rPr>
          <w:rFonts w:ascii="Times New Roman" w:hAnsi="Times New Roman" w:eastAsia="宋体" w:cs="Times New Roman"/>
          <w:color w:val="auto"/>
          <w:sz w:val="24"/>
          <w:szCs w:val="24"/>
          <w:lang w:eastAsia="zh-CN"/>
        </w:rPr>
      </w:pPr>
      <w:r>
        <w:rPr>
          <w:rFonts w:ascii="Times New Roman" w:hAnsi="Times New Roman" w:eastAsia="宋体" w:cs="Times New Roman"/>
          <w:color w:val="auto"/>
          <w:sz w:val="24"/>
          <w:szCs w:val="24"/>
          <w:lang w:eastAsia="zh-CN"/>
        </w:rPr>
        <w:t>12.3 针对个人职业发展需求，及时了解新能源材料与器件相关领域的发展动态，拓展行业领域内的知识和技能。</w:t>
      </w:r>
    </w:p>
    <w:p w14:paraId="660EE4F6">
      <w:pPr>
        <w:pStyle w:val="3"/>
        <w:spacing w:before="92" w:line="221" w:lineRule="auto"/>
        <w:ind w:left="3"/>
        <w:outlineLvl w:val="0"/>
        <w:rPr>
          <w:rFonts w:ascii="Times New Roman" w:hAnsi="Times New Roman" w:cs="Times New Roman"/>
          <w:color w:val="auto"/>
          <w:sz w:val="28"/>
          <w:szCs w:val="28"/>
          <w:lang w:eastAsia="zh-CN"/>
        </w:rPr>
      </w:pPr>
      <w:r>
        <w:rPr>
          <w:rFonts w:ascii="Times New Roman" w:hAnsi="Times New Roman" w:cs="Times New Roman"/>
          <w:b/>
          <w:bCs/>
          <w:color w:val="auto"/>
          <w:spacing w:val="-4"/>
          <w:sz w:val="28"/>
          <w:szCs w:val="28"/>
          <w:lang w:eastAsia="zh-CN"/>
        </w:rPr>
        <w:t>三、专业核心课程</w:t>
      </w:r>
    </w:p>
    <w:p w14:paraId="647293AC">
      <w:pPr>
        <w:pStyle w:val="3"/>
        <w:spacing w:before="278" w:line="360" w:lineRule="auto"/>
        <w:ind w:left="28" w:firstLine="480" w:firstLineChars="200"/>
        <w:outlineLvl w:val="0"/>
        <w:rPr>
          <w:rFonts w:ascii="Times New Roman" w:hAnsi="Times New Roman" w:cs="Times New Roman"/>
          <w:color w:val="auto"/>
          <w:lang w:eastAsia="zh-CN"/>
        </w:rPr>
      </w:pPr>
      <w:r>
        <w:rPr>
          <w:rFonts w:hint="eastAsia" w:ascii="Times New Roman" w:hAnsi="Times New Roman" w:cs="Times New Roman"/>
          <w:color w:val="auto"/>
          <w:lang w:eastAsia="zh-CN"/>
        </w:rPr>
        <w:t>无机化学、物理化学、工程制图与三维建模、电子电工学、材料科学基础、高分子基础学、基础有机化学、现代分析测试技术、新能源材料、半导体物理、储能原理与技术、新能源转换原理与技术 、器件设计与制备、专业外文及文献检索、新型储能材料、光电转换薄膜与器件、有机光电子材料与应用、光伏材料制备与检测技术、化学储能技术与器件</w:t>
      </w:r>
    </w:p>
    <w:p w14:paraId="1A981351">
      <w:pPr>
        <w:pStyle w:val="3"/>
        <w:spacing w:before="278" w:line="221" w:lineRule="auto"/>
        <w:ind w:left="29"/>
        <w:outlineLvl w:val="0"/>
        <w:rPr>
          <w:rFonts w:ascii="Times New Roman" w:hAnsi="Times New Roman" w:cs="Times New Roman"/>
          <w:color w:val="auto"/>
          <w:sz w:val="28"/>
          <w:szCs w:val="28"/>
          <w:lang w:eastAsia="zh-CN"/>
        </w:rPr>
      </w:pPr>
      <w:r>
        <w:rPr>
          <w:rFonts w:ascii="Times New Roman" w:hAnsi="Times New Roman" w:cs="Times New Roman"/>
          <w:b/>
          <w:bCs/>
          <w:color w:val="auto"/>
          <w:spacing w:val="-5"/>
          <w:sz w:val="28"/>
          <w:szCs w:val="28"/>
          <w:lang w:eastAsia="zh-CN"/>
        </w:rPr>
        <w:t>四、毕业标准与学位学分绩点要求</w:t>
      </w:r>
    </w:p>
    <w:p w14:paraId="5729B822">
      <w:pPr>
        <w:pStyle w:val="3"/>
        <w:spacing w:before="79" w:line="303" w:lineRule="auto"/>
        <w:ind w:right="80" w:firstLine="483"/>
        <w:jc w:val="both"/>
        <w:rPr>
          <w:rFonts w:ascii="Times New Roman" w:hAnsi="Times New Roman" w:cs="Times New Roman"/>
          <w:color w:val="auto"/>
          <w:lang w:eastAsia="zh-CN"/>
        </w:rPr>
      </w:pPr>
      <w:r>
        <w:rPr>
          <w:rFonts w:ascii="Times New Roman" w:hAnsi="Times New Roman" w:cs="Times New Roman"/>
          <w:b/>
          <w:bCs/>
          <w:color w:val="auto"/>
          <w:spacing w:val="-1"/>
          <w:lang w:eastAsia="zh-CN"/>
        </w:rPr>
        <w:t>毕业标准:</w:t>
      </w:r>
      <w:r>
        <w:rPr>
          <w:rFonts w:ascii="Times New Roman" w:hAnsi="Times New Roman" w:cs="Times New Roman"/>
          <w:color w:val="auto"/>
          <w:spacing w:val="-1"/>
          <w:lang w:eastAsia="zh-CN"/>
        </w:rPr>
        <w:t xml:space="preserve"> 遵章守纪，具有良好的思想道德和身体素质,符合规定的德育、体</w:t>
      </w:r>
      <w:r>
        <w:rPr>
          <w:rFonts w:ascii="Times New Roman" w:hAnsi="Times New Roman" w:cs="Times New Roman"/>
          <w:color w:val="auto"/>
          <w:spacing w:val="-5"/>
          <w:lang w:eastAsia="zh-CN"/>
        </w:rPr>
        <w:t>育和美育标准；修满本专业最低计划学分要求176学分，且各类课程的学分符合专</w:t>
      </w:r>
      <w:r>
        <w:rPr>
          <w:rFonts w:ascii="Times New Roman" w:hAnsi="Times New Roman" w:cs="Times New Roman"/>
          <w:color w:val="auto"/>
          <w:spacing w:val="-1"/>
          <w:lang w:eastAsia="zh-CN"/>
        </w:rPr>
        <w:t>业指导性教学计划规定，</w:t>
      </w:r>
      <w:r>
        <w:rPr>
          <w:rFonts w:hint="eastAsia" w:ascii="Times New Roman" w:hAnsi="Times New Roman" w:cs="Times New Roman"/>
          <w:color w:val="auto"/>
          <w:spacing w:val="-1"/>
          <w:lang w:eastAsia="zh-CN"/>
        </w:rPr>
        <w:t>学位学分绩点要求: 平均学分绩点≥2.0。</w:t>
      </w:r>
    </w:p>
    <w:p w14:paraId="7689C28B">
      <w:pPr>
        <w:spacing w:line="303" w:lineRule="auto"/>
        <w:rPr>
          <w:rFonts w:ascii="Times New Roman" w:hAnsi="Times New Roman" w:cs="Times New Roman"/>
          <w:color w:val="auto"/>
          <w:lang w:eastAsia="zh-CN"/>
        </w:rPr>
        <w:sectPr>
          <w:pgSz w:w="11906" w:h="16839"/>
          <w:pgMar w:top="1431" w:right="1724" w:bottom="0" w:left="1709" w:header="0" w:footer="0" w:gutter="0"/>
          <w:cols w:space="720" w:num="1"/>
        </w:sectPr>
      </w:pPr>
    </w:p>
    <w:p w14:paraId="1DF958AB">
      <w:pPr>
        <w:pStyle w:val="3"/>
        <w:spacing w:before="91" w:line="220" w:lineRule="auto"/>
        <w:ind w:left="530"/>
        <w:outlineLvl w:val="0"/>
        <w:rPr>
          <w:rFonts w:ascii="Times New Roman" w:hAnsi="Times New Roman" w:cs="Times New Roman"/>
          <w:color w:val="auto"/>
          <w:sz w:val="28"/>
          <w:szCs w:val="28"/>
          <w:lang w:eastAsia="zh-CN"/>
        </w:rPr>
      </w:pPr>
      <w:r>
        <w:rPr>
          <w:rFonts w:ascii="Times New Roman" w:hAnsi="Times New Roman" w:cs="Times New Roman"/>
          <w:b/>
          <w:bCs/>
          <w:color w:val="auto"/>
          <w:spacing w:val="-3"/>
          <w:sz w:val="28"/>
          <w:szCs w:val="28"/>
          <w:lang w:eastAsia="zh-CN"/>
        </w:rPr>
        <w:t>五、课程结构和学分学时分布表</w:t>
      </w:r>
    </w:p>
    <w:p w14:paraId="01CB4981">
      <w:pPr>
        <w:spacing w:before="34"/>
        <w:rPr>
          <w:rFonts w:ascii="Times New Roman" w:hAnsi="Times New Roman" w:cs="Times New Roman"/>
          <w:color w:val="auto"/>
          <w:lang w:eastAsia="zh-CN"/>
        </w:rPr>
      </w:pPr>
    </w:p>
    <w:tbl>
      <w:tblPr>
        <w:tblStyle w:val="10"/>
        <w:tblW w:w="904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194"/>
        <w:gridCol w:w="787"/>
        <w:gridCol w:w="773"/>
        <w:gridCol w:w="899"/>
        <w:gridCol w:w="1064"/>
        <w:gridCol w:w="1004"/>
        <w:gridCol w:w="1094"/>
        <w:gridCol w:w="1234"/>
      </w:tblGrid>
      <w:tr w14:paraId="12C282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9" w:hRule="atLeast"/>
        </w:trPr>
        <w:tc>
          <w:tcPr>
            <w:tcW w:w="2194" w:type="dxa"/>
            <w:vMerge w:val="restart"/>
            <w:tcBorders>
              <w:bottom w:val="nil"/>
            </w:tcBorders>
          </w:tcPr>
          <w:p w14:paraId="6ECF81DF">
            <w:pPr>
              <w:spacing w:line="252" w:lineRule="auto"/>
              <w:rPr>
                <w:rFonts w:ascii="Times New Roman" w:hAnsi="Times New Roman" w:cs="Times New Roman"/>
                <w:color w:val="auto"/>
                <w:lang w:eastAsia="zh-CN"/>
              </w:rPr>
            </w:pPr>
          </w:p>
          <w:p w14:paraId="29B64811">
            <w:pPr>
              <w:spacing w:line="253" w:lineRule="auto"/>
              <w:rPr>
                <w:rFonts w:ascii="Times New Roman" w:hAnsi="Times New Roman" w:cs="Times New Roman"/>
                <w:color w:val="auto"/>
                <w:lang w:eastAsia="zh-CN"/>
              </w:rPr>
            </w:pPr>
          </w:p>
          <w:p w14:paraId="50F78EEA">
            <w:pPr>
              <w:pStyle w:val="11"/>
              <w:spacing w:before="78" w:line="220" w:lineRule="auto"/>
              <w:ind w:left="741"/>
              <w:rPr>
                <w:rFonts w:ascii="Times New Roman" w:hAnsi="Times New Roman" w:cs="Times New Roman"/>
                <w:color w:val="auto"/>
              </w:rPr>
            </w:pPr>
            <w:r>
              <w:rPr>
                <w:rFonts w:ascii="Times New Roman" w:hAnsi="Times New Roman" w:cs="Times New Roman"/>
                <w:color w:val="auto"/>
                <w:spacing w:val="-3"/>
              </w:rPr>
              <w:t>课程类别</w:t>
            </w:r>
          </w:p>
        </w:tc>
        <w:tc>
          <w:tcPr>
            <w:tcW w:w="787" w:type="dxa"/>
            <w:vMerge w:val="restart"/>
            <w:tcBorders>
              <w:bottom w:val="nil"/>
            </w:tcBorders>
          </w:tcPr>
          <w:p w14:paraId="44327F93">
            <w:pPr>
              <w:spacing w:line="252" w:lineRule="auto"/>
              <w:rPr>
                <w:rFonts w:ascii="Times New Roman" w:hAnsi="Times New Roman" w:cs="Times New Roman"/>
                <w:color w:val="auto"/>
              </w:rPr>
            </w:pPr>
          </w:p>
          <w:p w14:paraId="6054F8B3">
            <w:pPr>
              <w:spacing w:line="253" w:lineRule="auto"/>
              <w:rPr>
                <w:rFonts w:ascii="Times New Roman" w:hAnsi="Times New Roman" w:cs="Times New Roman"/>
                <w:color w:val="auto"/>
              </w:rPr>
            </w:pPr>
          </w:p>
          <w:p w14:paraId="36D5E41D">
            <w:pPr>
              <w:pStyle w:val="11"/>
              <w:spacing w:before="78" w:line="221" w:lineRule="auto"/>
              <w:ind w:left="161"/>
              <w:rPr>
                <w:rFonts w:ascii="Times New Roman" w:hAnsi="Times New Roman" w:cs="Times New Roman"/>
                <w:color w:val="auto"/>
              </w:rPr>
            </w:pPr>
            <w:r>
              <w:rPr>
                <w:rFonts w:ascii="Times New Roman" w:hAnsi="Times New Roman" w:cs="Times New Roman"/>
                <w:color w:val="auto"/>
                <w:spacing w:val="-8"/>
              </w:rPr>
              <w:t>学分</w:t>
            </w:r>
          </w:p>
        </w:tc>
        <w:tc>
          <w:tcPr>
            <w:tcW w:w="773" w:type="dxa"/>
            <w:vMerge w:val="restart"/>
            <w:tcBorders>
              <w:bottom w:val="nil"/>
            </w:tcBorders>
          </w:tcPr>
          <w:p w14:paraId="469CF464">
            <w:pPr>
              <w:spacing w:line="252" w:lineRule="auto"/>
              <w:rPr>
                <w:rFonts w:ascii="Times New Roman" w:hAnsi="Times New Roman" w:cs="Times New Roman"/>
                <w:color w:val="auto"/>
              </w:rPr>
            </w:pPr>
          </w:p>
          <w:p w14:paraId="0E588197">
            <w:pPr>
              <w:spacing w:line="253" w:lineRule="auto"/>
              <w:rPr>
                <w:rFonts w:ascii="Times New Roman" w:hAnsi="Times New Roman" w:cs="Times New Roman"/>
                <w:color w:val="auto"/>
              </w:rPr>
            </w:pPr>
          </w:p>
          <w:p w14:paraId="7470287D">
            <w:pPr>
              <w:pStyle w:val="11"/>
              <w:spacing w:before="78" w:line="222" w:lineRule="auto"/>
              <w:ind w:left="154"/>
              <w:rPr>
                <w:rFonts w:ascii="Times New Roman" w:hAnsi="Times New Roman" w:cs="Times New Roman"/>
                <w:color w:val="auto"/>
              </w:rPr>
            </w:pPr>
            <w:r>
              <w:rPr>
                <w:rFonts w:ascii="Times New Roman" w:hAnsi="Times New Roman" w:cs="Times New Roman"/>
                <w:color w:val="auto"/>
                <w:spacing w:val="-8"/>
              </w:rPr>
              <w:t>学时</w:t>
            </w:r>
          </w:p>
        </w:tc>
        <w:tc>
          <w:tcPr>
            <w:tcW w:w="899" w:type="dxa"/>
            <w:vMerge w:val="restart"/>
            <w:tcBorders>
              <w:bottom w:val="nil"/>
            </w:tcBorders>
          </w:tcPr>
          <w:p w14:paraId="0DCE2AD1">
            <w:pPr>
              <w:pStyle w:val="11"/>
              <w:spacing w:before="118" w:line="329" w:lineRule="auto"/>
              <w:ind w:left="166" w:right="169" w:firstLine="53"/>
              <w:jc w:val="both"/>
              <w:rPr>
                <w:rFonts w:ascii="Times New Roman" w:hAnsi="Times New Roman" w:cs="Times New Roman"/>
                <w:color w:val="auto"/>
                <w:lang w:eastAsia="zh-CN"/>
              </w:rPr>
            </w:pPr>
            <w:r>
              <w:rPr>
                <w:rFonts w:ascii="Times New Roman" w:hAnsi="Times New Roman" w:cs="Times New Roman"/>
                <w:color w:val="auto"/>
                <w:spacing w:val="-8"/>
              </w:rPr>
              <w:t>学时</w:t>
            </w:r>
            <w:r>
              <w:rPr>
                <w:rFonts w:ascii="Times New Roman" w:hAnsi="Times New Roman" w:cs="Times New Roman"/>
                <w:color w:val="auto"/>
                <w:spacing w:val="19"/>
              </w:rPr>
              <w:t>比例</w:t>
            </w:r>
            <w:r>
              <w:rPr>
                <w:rFonts w:hint="eastAsia" w:ascii="Times New Roman" w:hAnsi="Times New Roman" w:cs="Times New Roman"/>
                <w:color w:val="auto"/>
                <w:spacing w:val="-14"/>
                <w:lang w:eastAsia="zh-CN"/>
              </w:rPr>
              <w:t>(</w:t>
            </w:r>
            <w:r>
              <w:rPr>
                <w:rFonts w:ascii="Times New Roman" w:hAnsi="Times New Roman" w:cs="Times New Roman"/>
                <w:color w:val="auto"/>
                <w:spacing w:val="-14"/>
              </w:rPr>
              <w:t>%</w:t>
            </w:r>
            <w:r>
              <w:rPr>
                <w:rFonts w:hint="eastAsia" w:ascii="Times New Roman" w:hAnsi="Times New Roman" w:cs="Times New Roman"/>
                <w:color w:val="auto"/>
                <w:spacing w:val="-14"/>
                <w:lang w:eastAsia="zh-CN"/>
              </w:rPr>
              <w:t>)</w:t>
            </w:r>
          </w:p>
        </w:tc>
        <w:tc>
          <w:tcPr>
            <w:tcW w:w="2068" w:type="dxa"/>
            <w:gridSpan w:val="2"/>
          </w:tcPr>
          <w:p w14:paraId="394D3A84">
            <w:pPr>
              <w:pStyle w:val="11"/>
              <w:spacing w:before="178" w:line="221" w:lineRule="auto"/>
              <w:ind w:left="560"/>
              <w:rPr>
                <w:rFonts w:ascii="Times New Roman" w:hAnsi="Times New Roman" w:cs="Times New Roman"/>
                <w:color w:val="auto"/>
              </w:rPr>
            </w:pPr>
            <w:r>
              <w:rPr>
                <w:rFonts w:ascii="Times New Roman" w:hAnsi="Times New Roman" w:cs="Times New Roman"/>
                <w:color w:val="auto"/>
                <w:spacing w:val="-3"/>
              </w:rPr>
              <w:t>课程性质</w:t>
            </w:r>
          </w:p>
        </w:tc>
        <w:tc>
          <w:tcPr>
            <w:tcW w:w="2328" w:type="dxa"/>
            <w:gridSpan w:val="2"/>
          </w:tcPr>
          <w:p w14:paraId="62CAA255">
            <w:pPr>
              <w:pStyle w:val="11"/>
              <w:spacing w:before="178" w:line="220" w:lineRule="auto"/>
              <w:ind w:left="692"/>
              <w:rPr>
                <w:rFonts w:ascii="Times New Roman" w:hAnsi="Times New Roman" w:cs="Times New Roman"/>
                <w:color w:val="auto"/>
              </w:rPr>
            </w:pPr>
            <w:r>
              <w:rPr>
                <w:rFonts w:ascii="Times New Roman" w:hAnsi="Times New Roman" w:cs="Times New Roman"/>
                <w:color w:val="auto"/>
                <w:spacing w:val="-4"/>
              </w:rPr>
              <w:t>教学形式</w:t>
            </w:r>
          </w:p>
        </w:tc>
      </w:tr>
      <w:tr w14:paraId="7A3CB7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8" w:hRule="atLeast"/>
        </w:trPr>
        <w:tc>
          <w:tcPr>
            <w:tcW w:w="2194" w:type="dxa"/>
            <w:vMerge w:val="continue"/>
            <w:tcBorders>
              <w:top w:val="nil"/>
            </w:tcBorders>
          </w:tcPr>
          <w:p w14:paraId="4B1735BC">
            <w:pPr>
              <w:rPr>
                <w:rFonts w:ascii="Times New Roman" w:hAnsi="Times New Roman" w:cs="Times New Roman"/>
                <w:color w:val="auto"/>
              </w:rPr>
            </w:pPr>
          </w:p>
        </w:tc>
        <w:tc>
          <w:tcPr>
            <w:tcW w:w="787" w:type="dxa"/>
            <w:vMerge w:val="continue"/>
            <w:tcBorders>
              <w:top w:val="nil"/>
            </w:tcBorders>
          </w:tcPr>
          <w:p w14:paraId="54755752">
            <w:pPr>
              <w:rPr>
                <w:rFonts w:ascii="Times New Roman" w:hAnsi="Times New Roman" w:cs="Times New Roman"/>
                <w:color w:val="auto"/>
              </w:rPr>
            </w:pPr>
          </w:p>
        </w:tc>
        <w:tc>
          <w:tcPr>
            <w:tcW w:w="773" w:type="dxa"/>
            <w:vMerge w:val="continue"/>
            <w:tcBorders>
              <w:top w:val="nil"/>
            </w:tcBorders>
          </w:tcPr>
          <w:p w14:paraId="34A3BF74">
            <w:pPr>
              <w:rPr>
                <w:rFonts w:ascii="Times New Roman" w:hAnsi="Times New Roman" w:cs="Times New Roman"/>
                <w:color w:val="auto"/>
              </w:rPr>
            </w:pPr>
          </w:p>
        </w:tc>
        <w:tc>
          <w:tcPr>
            <w:tcW w:w="899" w:type="dxa"/>
            <w:vMerge w:val="continue"/>
            <w:tcBorders>
              <w:top w:val="nil"/>
            </w:tcBorders>
          </w:tcPr>
          <w:p w14:paraId="08F496BE">
            <w:pPr>
              <w:rPr>
                <w:rFonts w:ascii="Times New Roman" w:hAnsi="Times New Roman" w:cs="Times New Roman"/>
                <w:color w:val="auto"/>
              </w:rPr>
            </w:pPr>
          </w:p>
        </w:tc>
        <w:tc>
          <w:tcPr>
            <w:tcW w:w="1064" w:type="dxa"/>
          </w:tcPr>
          <w:p w14:paraId="2A47A315">
            <w:pPr>
              <w:pStyle w:val="11"/>
              <w:spacing w:before="126" w:line="231" w:lineRule="auto"/>
              <w:ind w:left="300" w:right="171" w:hanging="120"/>
              <w:rPr>
                <w:rFonts w:ascii="Times New Roman" w:hAnsi="Times New Roman" w:cs="Times New Roman"/>
                <w:color w:val="auto"/>
              </w:rPr>
            </w:pPr>
            <w:r>
              <w:rPr>
                <w:rFonts w:ascii="Times New Roman" w:hAnsi="Times New Roman" w:cs="Times New Roman"/>
                <w:color w:val="auto"/>
                <w:spacing w:val="-5"/>
              </w:rPr>
              <w:t>必修课</w:t>
            </w:r>
            <w:r>
              <w:rPr>
                <w:rFonts w:ascii="Times New Roman" w:hAnsi="Times New Roman" w:cs="Times New Roman"/>
                <w:color w:val="auto"/>
              </w:rPr>
              <w:t xml:space="preserve"> </w:t>
            </w:r>
            <w:r>
              <w:rPr>
                <w:rFonts w:ascii="Times New Roman" w:hAnsi="Times New Roman" w:cs="Times New Roman"/>
                <w:color w:val="auto"/>
                <w:spacing w:val="-8"/>
              </w:rPr>
              <w:t>学时</w:t>
            </w:r>
          </w:p>
        </w:tc>
        <w:tc>
          <w:tcPr>
            <w:tcW w:w="1004" w:type="dxa"/>
          </w:tcPr>
          <w:p w14:paraId="19482EFA">
            <w:pPr>
              <w:pStyle w:val="11"/>
              <w:spacing w:before="126" w:line="231" w:lineRule="auto"/>
              <w:ind w:left="273" w:right="138" w:hanging="125"/>
              <w:rPr>
                <w:rFonts w:ascii="Times New Roman" w:hAnsi="Times New Roman" w:cs="Times New Roman"/>
                <w:color w:val="auto"/>
              </w:rPr>
            </w:pPr>
            <w:r>
              <w:rPr>
                <w:rFonts w:ascii="Times New Roman" w:hAnsi="Times New Roman" w:cs="Times New Roman"/>
                <w:color w:val="auto"/>
                <w:spacing w:val="-3"/>
              </w:rPr>
              <w:t>选修课</w:t>
            </w:r>
            <w:r>
              <w:rPr>
                <w:rFonts w:ascii="Times New Roman" w:hAnsi="Times New Roman" w:cs="Times New Roman"/>
                <w:color w:val="auto"/>
              </w:rPr>
              <w:t xml:space="preserve"> </w:t>
            </w:r>
            <w:r>
              <w:rPr>
                <w:rFonts w:ascii="Times New Roman" w:hAnsi="Times New Roman" w:cs="Times New Roman"/>
                <w:color w:val="auto"/>
                <w:spacing w:val="-8"/>
              </w:rPr>
              <w:t>学时</w:t>
            </w:r>
          </w:p>
        </w:tc>
        <w:tc>
          <w:tcPr>
            <w:tcW w:w="1094" w:type="dxa"/>
          </w:tcPr>
          <w:p w14:paraId="013EF834">
            <w:pPr>
              <w:pStyle w:val="11"/>
              <w:spacing w:before="126" w:line="231" w:lineRule="auto"/>
              <w:ind w:left="198" w:right="183" w:hanging="1"/>
              <w:rPr>
                <w:rFonts w:ascii="Times New Roman" w:hAnsi="Times New Roman" w:cs="Times New Roman"/>
                <w:color w:val="auto"/>
              </w:rPr>
            </w:pPr>
            <w:r>
              <w:rPr>
                <w:rFonts w:ascii="Times New Roman" w:hAnsi="Times New Roman" w:cs="Times New Roman"/>
                <w:color w:val="auto"/>
                <w:spacing w:val="-5"/>
              </w:rPr>
              <w:t>理论教</w:t>
            </w:r>
            <w:r>
              <w:rPr>
                <w:rFonts w:ascii="Times New Roman" w:hAnsi="Times New Roman" w:cs="Times New Roman"/>
                <w:color w:val="auto"/>
                <w:spacing w:val="1"/>
              </w:rPr>
              <w:t xml:space="preserve"> </w:t>
            </w:r>
            <w:r>
              <w:rPr>
                <w:rFonts w:ascii="Times New Roman" w:hAnsi="Times New Roman" w:cs="Times New Roman"/>
                <w:color w:val="auto"/>
                <w:spacing w:val="-5"/>
              </w:rPr>
              <w:t>学学时</w:t>
            </w:r>
          </w:p>
        </w:tc>
        <w:tc>
          <w:tcPr>
            <w:tcW w:w="1234" w:type="dxa"/>
          </w:tcPr>
          <w:p w14:paraId="67C48C06">
            <w:pPr>
              <w:pStyle w:val="11"/>
              <w:spacing w:before="126" w:line="231" w:lineRule="auto"/>
              <w:ind w:left="389" w:right="133" w:hanging="239"/>
              <w:rPr>
                <w:rFonts w:ascii="Times New Roman" w:hAnsi="Times New Roman" w:cs="Times New Roman"/>
                <w:color w:val="auto"/>
              </w:rPr>
            </w:pPr>
            <w:r>
              <w:rPr>
                <w:rFonts w:ascii="Times New Roman" w:hAnsi="Times New Roman" w:cs="Times New Roman"/>
                <w:color w:val="auto"/>
                <w:spacing w:val="-4"/>
              </w:rPr>
              <w:t>实践教学</w:t>
            </w:r>
            <w:r>
              <w:rPr>
                <w:rFonts w:ascii="Times New Roman" w:hAnsi="Times New Roman" w:cs="Times New Roman"/>
                <w:color w:val="auto"/>
              </w:rPr>
              <w:t xml:space="preserve"> </w:t>
            </w:r>
            <w:r>
              <w:rPr>
                <w:rFonts w:ascii="Times New Roman" w:hAnsi="Times New Roman" w:cs="Times New Roman"/>
                <w:color w:val="auto"/>
                <w:spacing w:val="-8"/>
              </w:rPr>
              <w:t>学时</w:t>
            </w:r>
          </w:p>
        </w:tc>
      </w:tr>
      <w:tr w14:paraId="6EA78D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5" w:hRule="atLeast"/>
        </w:trPr>
        <w:tc>
          <w:tcPr>
            <w:tcW w:w="2194" w:type="dxa"/>
          </w:tcPr>
          <w:p w14:paraId="065EF93C">
            <w:pPr>
              <w:pStyle w:val="11"/>
              <w:spacing w:before="146" w:line="220" w:lineRule="auto"/>
              <w:ind w:left="502"/>
              <w:rPr>
                <w:rFonts w:ascii="Times New Roman" w:hAnsi="Times New Roman" w:cs="Times New Roman"/>
                <w:color w:val="auto"/>
              </w:rPr>
            </w:pPr>
            <w:r>
              <w:rPr>
                <w:rFonts w:ascii="Times New Roman" w:hAnsi="Times New Roman" w:cs="Times New Roman"/>
                <w:color w:val="auto"/>
                <w:spacing w:val="-2"/>
              </w:rPr>
              <w:t>通识教育课</w:t>
            </w:r>
          </w:p>
        </w:tc>
        <w:tc>
          <w:tcPr>
            <w:tcW w:w="787" w:type="dxa"/>
            <w:vAlign w:val="center"/>
          </w:tcPr>
          <w:p w14:paraId="048C2BAC">
            <w:pPr>
              <w:pStyle w:val="11"/>
              <w:spacing w:before="184" w:line="183" w:lineRule="auto"/>
              <w:jc w:val="center"/>
              <w:rPr>
                <w:rFonts w:ascii="Times New Roman" w:hAnsi="Times New Roman" w:cs="Times New Roman"/>
                <w:color w:val="auto"/>
                <w:lang w:eastAsia="zh-CN"/>
              </w:rPr>
            </w:pPr>
            <w:r>
              <w:rPr>
                <w:rFonts w:ascii="Times New Roman" w:hAnsi="Times New Roman" w:cs="Times New Roman"/>
                <w:color w:val="auto"/>
                <w:spacing w:val="-8"/>
                <w:lang w:eastAsia="zh-CN"/>
              </w:rPr>
              <w:t>65</w:t>
            </w:r>
          </w:p>
        </w:tc>
        <w:tc>
          <w:tcPr>
            <w:tcW w:w="773" w:type="dxa"/>
            <w:vAlign w:val="center"/>
          </w:tcPr>
          <w:p w14:paraId="107413CB">
            <w:pPr>
              <w:pStyle w:val="11"/>
              <w:spacing w:before="183" w:line="184" w:lineRule="auto"/>
              <w:jc w:val="center"/>
              <w:rPr>
                <w:rFonts w:ascii="Times New Roman" w:hAnsi="Times New Roman" w:cs="Times New Roman"/>
                <w:color w:val="auto"/>
                <w:lang w:eastAsia="zh-CN"/>
              </w:rPr>
            </w:pPr>
            <w:r>
              <w:rPr>
                <w:rFonts w:ascii="Times New Roman" w:hAnsi="Times New Roman" w:cs="Times New Roman"/>
                <w:color w:val="auto"/>
                <w:spacing w:val="-7"/>
                <w:lang w:eastAsia="zh-CN"/>
              </w:rPr>
              <w:t>1152</w:t>
            </w:r>
          </w:p>
        </w:tc>
        <w:tc>
          <w:tcPr>
            <w:tcW w:w="899" w:type="dxa"/>
            <w:vAlign w:val="center"/>
          </w:tcPr>
          <w:p w14:paraId="50280FF6">
            <w:pPr>
              <w:pStyle w:val="11"/>
              <w:spacing w:before="184" w:line="183" w:lineRule="auto"/>
              <w:ind w:left="159"/>
              <w:jc w:val="center"/>
              <w:rPr>
                <w:rFonts w:ascii="Times New Roman" w:hAnsi="Times New Roman" w:cs="Times New Roman"/>
                <w:color w:val="auto"/>
                <w:lang w:eastAsia="zh-CN"/>
              </w:rPr>
            </w:pPr>
            <w:r>
              <w:rPr>
                <w:rFonts w:ascii="Times New Roman" w:hAnsi="Times New Roman" w:cs="Times New Roman"/>
                <w:color w:val="auto"/>
                <w:lang w:eastAsia="zh-CN"/>
              </w:rPr>
              <w:t>37.89</w:t>
            </w:r>
          </w:p>
        </w:tc>
        <w:tc>
          <w:tcPr>
            <w:tcW w:w="1064" w:type="dxa"/>
            <w:vAlign w:val="center"/>
          </w:tcPr>
          <w:p w14:paraId="2BF93991">
            <w:pPr>
              <w:pStyle w:val="11"/>
              <w:spacing w:before="184" w:line="183" w:lineRule="auto"/>
              <w:ind w:left="26"/>
              <w:jc w:val="center"/>
              <w:rPr>
                <w:rFonts w:ascii="Times New Roman" w:hAnsi="Times New Roman" w:cs="Times New Roman"/>
                <w:color w:val="auto"/>
                <w:lang w:eastAsia="zh-CN"/>
              </w:rPr>
            </w:pPr>
            <w:r>
              <w:rPr>
                <w:rFonts w:ascii="Times New Roman" w:hAnsi="Times New Roman" w:cs="Times New Roman"/>
                <w:color w:val="auto"/>
                <w:spacing w:val="-6"/>
                <w:lang w:eastAsia="zh-CN"/>
              </w:rPr>
              <w:t>6</w:t>
            </w:r>
            <w:r>
              <w:rPr>
                <w:rFonts w:hint="eastAsia" w:ascii="Times New Roman" w:hAnsi="Times New Roman" w:cs="Times New Roman"/>
                <w:color w:val="auto"/>
                <w:spacing w:val="-6"/>
                <w:lang w:eastAsia="zh-CN"/>
              </w:rPr>
              <w:t>24</w:t>
            </w:r>
          </w:p>
        </w:tc>
        <w:tc>
          <w:tcPr>
            <w:tcW w:w="1004" w:type="dxa"/>
            <w:vAlign w:val="center"/>
          </w:tcPr>
          <w:p w14:paraId="13224A6B">
            <w:pPr>
              <w:pStyle w:val="11"/>
              <w:spacing w:before="183" w:line="184" w:lineRule="auto"/>
              <w:jc w:val="center"/>
              <w:rPr>
                <w:rFonts w:ascii="Times New Roman" w:hAnsi="Times New Roman" w:cs="Times New Roman"/>
                <w:color w:val="auto"/>
                <w:lang w:eastAsia="zh-CN"/>
              </w:rPr>
            </w:pPr>
            <w:r>
              <w:rPr>
                <w:rFonts w:ascii="Times New Roman" w:hAnsi="Times New Roman" w:cs="Times New Roman"/>
                <w:color w:val="auto"/>
                <w:spacing w:val="-5"/>
              </w:rPr>
              <w:t>5</w:t>
            </w:r>
            <w:r>
              <w:rPr>
                <w:rFonts w:ascii="Times New Roman" w:hAnsi="Times New Roman" w:cs="Times New Roman"/>
                <w:color w:val="auto"/>
                <w:spacing w:val="-5"/>
                <w:lang w:eastAsia="zh-CN"/>
              </w:rPr>
              <w:t>28</w:t>
            </w:r>
          </w:p>
        </w:tc>
        <w:tc>
          <w:tcPr>
            <w:tcW w:w="1094" w:type="dxa"/>
            <w:vAlign w:val="center"/>
          </w:tcPr>
          <w:p w14:paraId="258D9D13">
            <w:pPr>
              <w:pStyle w:val="11"/>
              <w:spacing w:before="183" w:line="184" w:lineRule="auto"/>
              <w:ind w:left="84"/>
              <w:jc w:val="center"/>
              <w:rPr>
                <w:rFonts w:ascii="Times New Roman" w:hAnsi="Times New Roman" w:cs="Times New Roman"/>
                <w:color w:val="auto"/>
                <w:lang w:eastAsia="zh-CN"/>
              </w:rPr>
            </w:pPr>
            <w:r>
              <w:rPr>
                <w:rFonts w:ascii="Times New Roman" w:hAnsi="Times New Roman" w:cs="Times New Roman"/>
                <w:color w:val="auto"/>
                <w:spacing w:val="-7"/>
                <w:lang w:eastAsia="zh-CN"/>
              </w:rPr>
              <w:t>1032</w:t>
            </w:r>
          </w:p>
        </w:tc>
        <w:tc>
          <w:tcPr>
            <w:tcW w:w="1234" w:type="dxa"/>
            <w:vAlign w:val="center"/>
          </w:tcPr>
          <w:p w14:paraId="44CFB034">
            <w:pPr>
              <w:pStyle w:val="11"/>
              <w:spacing w:before="183" w:line="184" w:lineRule="auto"/>
              <w:jc w:val="center"/>
              <w:rPr>
                <w:rFonts w:ascii="Times New Roman" w:hAnsi="Times New Roman" w:cs="Times New Roman"/>
                <w:color w:val="auto"/>
                <w:lang w:eastAsia="zh-CN"/>
              </w:rPr>
            </w:pPr>
            <w:r>
              <w:rPr>
                <w:rFonts w:hint="eastAsia" w:ascii="Times New Roman" w:hAnsi="Times New Roman" w:cs="Times New Roman"/>
                <w:color w:val="auto"/>
                <w:spacing w:val="-10"/>
                <w:lang w:eastAsia="zh-CN"/>
              </w:rPr>
              <w:t>120</w:t>
            </w:r>
          </w:p>
        </w:tc>
      </w:tr>
      <w:tr w14:paraId="4608C7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3" w:hRule="atLeast"/>
        </w:trPr>
        <w:tc>
          <w:tcPr>
            <w:tcW w:w="2194" w:type="dxa"/>
          </w:tcPr>
          <w:p w14:paraId="2CF087E5">
            <w:pPr>
              <w:pStyle w:val="11"/>
              <w:spacing w:before="199" w:line="220" w:lineRule="auto"/>
              <w:ind w:left="145"/>
              <w:rPr>
                <w:rFonts w:ascii="Times New Roman" w:hAnsi="Times New Roman" w:cs="Times New Roman"/>
                <w:color w:val="auto"/>
              </w:rPr>
            </w:pPr>
            <w:r>
              <w:rPr>
                <w:rFonts w:ascii="Times New Roman" w:hAnsi="Times New Roman" w:cs="Times New Roman"/>
                <w:color w:val="auto"/>
                <w:spacing w:val="-2"/>
              </w:rPr>
              <w:t>大类与专业基础课</w:t>
            </w:r>
          </w:p>
        </w:tc>
        <w:tc>
          <w:tcPr>
            <w:tcW w:w="787" w:type="dxa"/>
            <w:vAlign w:val="center"/>
          </w:tcPr>
          <w:p w14:paraId="229A1729">
            <w:pPr>
              <w:pStyle w:val="11"/>
              <w:spacing w:before="232" w:line="183" w:lineRule="auto"/>
              <w:jc w:val="center"/>
              <w:rPr>
                <w:rFonts w:ascii="Times New Roman" w:hAnsi="Times New Roman" w:cs="Times New Roman"/>
                <w:color w:val="auto"/>
                <w:lang w:eastAsia="zh-CN"/>
              </w:rPr>
            </w:pPr>
            <w:r>
              <w:rPr>
                <w:rFonts w:hint="eastAsia" w:ascii="Times New Roman" w:hAnsi="Times New Roman" w:cs="Times New Roman"/>
                <w:color w:val="auto"/>
                <w:lang w:eastAsia="zh-CN"/>
              </w:rPr>
              <w:t>35.5</w:t>
            </w:r>
          </w:p>
        </w:tc>
        <w:tc>
          <w:tcPr>
            <w:tcW w:w="773" w:type="dxa"/>
            <w:vAlign w:val="center"/>
          </w:tcPr>
          <w:p w14:paraId="0C7757DD">
            <w:pPr>
              <w:pStyle w:val="11"/>
              <w:spacing w:before="232" w:line="183" w:lineRule="auto"/>
              <w:jc w:val="center"/>
              <w:rPr>
                <w:rFonts w:ascii="Times New Roman" w:hAnsi="Times New Roman" w:cs="Times New Roman"/>
                <w:color w:val="auto"/>
                <w:lang w:eastAsia="zh-CN"/>
              </w:rPr>
            </w:pPr>
            <w:r>
              <w:rPr>
                <w:rFonts w:hint="eastAsia" w:ascii="Times New Roman" w:hAnsi="Times New Roman" w:cs="Times New Roman"/>
                <w:color w:val="auto"/>
                <w:lang w:eastAsia="zh-CN"/>
              </w:rPr>
              <w:t>568</w:t>
            </w:r>
          </w:p>
        </w:tc>
        <w:tc>
          <w:tcPr>
            <w:tcW w:w="899" w:type="dxa"/>
            <w:vAlign w:val="center"/>
          </w:tcPr>
          <w:p w14:paraId="59727633">
            <w:pPr>
              <w:pStyle w:val="11"/>
              <w:spacing w:before="74" w:line="209" w:lineRule="auto"/>
              <w:ind w:left="387" w:right="148" w:hanging="215"/>
              <w:jc w:val="center"/>
              <w:rPr>
                <w:rFonts w:ascii="Times New Roman" w:hAnsi="Times New Roman" w:cs="Times New Roman"/>
                <w:color w:val="auto"/>
                <w:lang w:eastAsia="zh-CN"/>
              </w:rPr>
            </w:pPr>
            <w:r>
              <w:rPr>
                <w:rFonts w:ascii="Times New Roman" w:hAnsi="Times New Roman" w:cs="Times New Roman"/>
                <w:color w:val="auto"/>
                <w:lang w:eastAsia="zh-CN"/>
              </w:rPr>
              <w:t>18.</w:t>
            </w:r>
            <w:r>
              <w:rPr>
                <w:rFonts w:hint="eastAsia" w:ascii="Times New Roman" w:hAnsi="Times New Roman" w:cs="Times New Roman"/>
                <w:color w:val="auto"/>
                <w:lang w:eastAsia="zh-CN"/>
              </w:rPr>
              <w:t>6</w:t>
            </w:r>
            <w:r>
              <w:rPr>
                <w:rFonts w:ascii="Times New Roman" w:hAnsi="Times New Roman" w:cs="Times New Roman"/>
                <w:color w:val="auto"/>
                <w:lang w:eastAsia="zh-CN"/>
              </w:rPr>
              <w:t>8</w:t>
            </w:r>
          </w:p>
        </w:tc>
        <w:tc>
          <w:tcPr>
            <w:tcW w:w="1064" w:type="dxa"/>
            <w:vAlign w:val="center"/>
          </w:tcPr>
          <w:p w14:paraId="172D7638">
            <w:pPr>
              <w:pStyle w:val="11"/>
              <w:spacing w:before="232" w:line="183" w:lineRule="auto"/>
              <w:ind w:left="26"/>
              <w:jc w:val="center"/>
              <w:rPr>
                <w:rFonts w:ascii="Times New Roman" w:hAnsi="Times New Roman" w:cs="Times New Roman"/>
                <w:color w:val="auto"/>
                <w:lang w:eastAsia="zh-CN"/>
              </w:rPr>
            </w:pPr>
            <w:r>
              <w:rPr>
                <w:rFonts w:hint="eastAsia" w:ascii="Times New Roman" w:hAnsi="Times New Roman" w:cs="Times New Roman"/>
                <w:color w:val="auto"/>
                <w:lang w:eastAsia="zh-CN"/>
              </w:rPr>
              <w:t>568</w:t>
            </w:r>
          </w:p>
        </w:tc>
        <w:tc>
          <w:tcPr>
            <w:tcW w:w="1004" w:type="dxa"/>
            <w:vAlign w:val="center"/>
          </w:tcPr>
          <w:p w14:paraId="461D0734">
            <w:pPr>
              <w:pStyle w:val="11"/>
              <w:spacing w:before="232" w:line="183" w:lineRule="auto"/>
              <w:jc w:val="center"/>
              <w:rPr>
                <w:rFonts w:ascii="Times New Roman" w:hAnsi="Times New Roman" w:cs="Times New Roman"/>
                <w:color w:val="auto"/>
              </w:rPr>
            </w:pPr>
            <w:r>
              <w:rPr>
                <w:rFonts w:ascii="Times New Roman" w:hAnsi="Times New Roman" w:cs="Times New Roman"/>
                <w:color w:val="auto"/>
              </w:rPr>
              <w:t>0</w:t>
            </w:r>
          </w:p>
        </w:tc>
        <w:tc>
          <w:tcPr>
            <w:tcW w:w="1094" w:type="dxa"/>
            <w:vAlign w:val="center"/>
          </w:tcPr>
          <w:p w14:paraId="62AA2CF5">
            <w:pPr>
              <w:pStyle w:val="11"/>
              <w:spacing w:before="232" w:line="183" w:lineRule="auto"/>
              <w:ind w:left="84"/>
              <w:jc w:val="center"/>
              <w:rPr>
                <w:rFonts w:ascii="Times New Roman" w:hAnsi="Times New Roman" w:cs="Times New Roman"/>
                <w:color w:val="auto"/>
                <w:lang w:eastAsia="zh-CN"/>
              </w:rPr>
            </w:pPr>
            <w:r>
              <w:rPr>
                <w:rFonts w:hint="eastAsia" w:ascii="Times New Roman" w:hAnsi="Times New Roman" w:cs="Times New Roman"/>
                <w:color w:val="auto"/>
                <w:lang w:eastAsia="zh-CN"/>
              </w:rPr>
              <w:t>552</w:t>
            </w:r>
          </w:p>
        </w:tc>
        <w:tc>
          <w:tcPr>
            <w:tcW w:w="1234" w:type="dxa"/>
            <w:vAlign w:val="center"/>
          </w:tcPr>
          <w:p w14:paraId="358B8F64">
            <w:pPr>
              <w:pStyle w:val="11"/>
              <w:spacing w:before="231" w:line="184" w:lineRule="auto"/>
              <w:jc w:val="center"/>
              <w:rPr>
                <w:rFonts w:ascii="Times New Roman" w:hAnsi="Times New Roman" w:cs="Times New Roman"/>
                <w:color w:val="auto"/>
              </w:rPr>
            </w:pPr>
            <w:r>
              <w:rPr>
                <w:rFonts w:ascii="Times New Roman" w:hAnsi="Times New Roman" w:cs="Times New Roman"/>
                <w:color w:val="auto"/>
              </w:rPr>
              <w:t>16</w:t>
            </w:r>
          </w:p>
        </w:tc>
      </w:tr>
      <w:tr w14:paraId="632FBD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7" w:hRule="atLeast"/>
        </w:trPr>
        <w:tc>
          <w:tcPr>
            <w:tcW w:w="2194" w:type="dxa"/>
          </w:tcPr>
          <w:p w14:paraId="59E3AAC0">
            <w:pPr>
              <w:pStyle w:val="11"/>
              <w:spacing w:before="128" w:line="219" w:lineRule="auto"/>
              <w:ind w:left="503"/>
              <w:rPr>
                <w:rFonts w:ascii="Times New Roman" w:hAnsi="Times New Roman" w:cs="Times New Roman"/>
                <w:color w:val="auto"/>
              </w:rPr>
            </w:pPr>
            <w:r>
              <w:rPr>
                <w:rFonts w:ascii="Times New Roman" w:hAnsi="Times New Roman" w:cs="Times New Roman"/>
                <w:color w:val="auto"/>
                <w:spacing w:val="-3"/>
              </w:rPr>
              <w:t>专业主干课</w:t>
            </w:r>
          </w:p>
        </w:tc>
        <w:tc>
          <w:tcPr>
            <w:tcW w:w="787" w:type="dxa"/>
            <w:vAlign w:val="center"/>
          </w:tcPr>
          <w:p w14:paraId="0E1A62B7">
            <w:pPr>
              <w:pStyle w:val="11"/>
              <w:spacing w:before="162" w:line="184" w:lineRule="auto"/>
              <w:jc w:val="center"/>
              <w:rPr>
                <w:rFonts w:ascii="Times New Roman" w:hAnsi="Times New Roman" w:cs="Times New Roman"/>
                <w:color w:val="auto"/>
                <w:lang w:eastAsia="zh-CN"/>
              </w:rPr>
            </w:pPr>
            <w:r>
              <w:rPr>
                <w:rFonts w:hint="eastAsia" w:ascii="Times New Roman" w:hAnsi="Times New Roman" w:cs="Times New Roman"/>
                <w:color w:val="auto"/>
                <w:lang w:eastAsia="zh-CN"/>
              </w:rPr>
              <w:t>14</w:t>
            </w:r>
          </w:p>
        </w:tc>
        <w:tc>
          <w:tcPr>
            <w:tcW w:w="773" w:type="dxa"/>
            <w:vAlign w:val="center"/>
          </w:tcPr>
          <w:p w14:paraId="2549CD97">
            <w:pPr>
              <w:pStyle w:val="11"/>
              <w:spacing w:before="163" w:line="183" w:lineRule="auto"/>
              <w:jc w:val="center"/>
              <w:rPr>
                <w:rFonts w:ascii="Times New Roman" w:hAnsi="Times New Roman" w:cs="Times New Roman"/>
                <w:color w:val="auto"/>
                <w:lang w:eastAsia="zh-CN"/>
              </w:rPr>
            </w:pPr>
            <w:r>
              <w:rPr>
                <w:rFonts w:ascii="Times New Roman" w:hAnsi="Times New Roman" w:cs="Times New Roman"/>
                <w:color w:val="auto"/>
                <w:lang w:eastAsia="zh-CN"/>
              </w:rPr>
              <w:t>224</w:t>
            </w:r>
          </w:p>
        </w:tc>
        <w:tc>
          <w:tcPr>
            <w:tcW w:w="899" w:type="dxa"/>
            <w:vAlign w:val="center"/>
          </w:tcPr>
          <w:p w14:paraId="1B60DBCC">
            <w:pPr>
              <w:pStyle w:val="11"/>
              <w:spacing w:before="162" w:line="184" w:lineRule="auto"/>
              <w:ind w:left="172"/>
              <w:jc w:val="center"/>
              <w:rPr>
                <w:rFonts w:ascii="Times New Roman" w:hAnsi="Times New Roman" w:cs="Times New Roman"/>
                <w:color w:val="auto"/>
                <w:lang w:eastAsia="zh-CN"/>
              </w:rPr>
            </w:pPr>
            <w:r>
              <w:rPr>
                <w:rFonts w:ascii="Times New Roman" w:hAnsi="Times New Roman" w:cs="Times New Roman"/>
                <w:color w:val="auto"/>
                <w:lang w:eastAsia="zh-CN"/>
              </w:rPr>
              <w:t>7.</w:t>
            </w:r>
            <w:r>
              <w:rPr>
                <w:rFonts w:hint="eastAsia" w:ascii="Times New Roman" w:hAnsi="Times New Roman" w:cs="Times New Roman"/>
                <w:color w:val="auto"/>
                <w:lang w:eastAsia="zh-CN"/>
              </w:rPr>
              <w:t>37</w:t>
            </w:r>
          </w:p>
        </w:tc>
        <w:tc>
          <w:tcPr>
            <w:tcW w:w="1064" w:type="dxa"/>
            <w:vAlign w:val="center"/>
          </w:tcPr>
          <w:p w14:paraId="6DDCCE97">
            <w:pPr>
              <w:pStyle w:val="11"/>
              <w:spacing w:before="163" w:line="183" w:lineRule="auto"/>
              <w:ind w:left="26"/>
              <w:jc w:val="center"/>
              <w:rPr>
                <w:rFonts w:ascii="Times New Roman" w:hAnsi="Times New Roman" w:cs="Times New Roman"/>
                <w:color w:val="auto"/>
                <w:lang w:eastAsia="zh-CN"/>
              </w:rPr>
            </w:pPr>
            <w:r>
              <w:rPr>
                <w:rFonts w:hint="eastAsia" w:ascii="Times New Roman" w:hAnsi="Times New Roman" w:cs="Times New Roman"/>
                <w:color w:val="auto"/>
                <w:lang w:eastAsia="zh-CN"/>
              </w:rPr>
              <w:t>224</w:t>
            </w:r>
          </w:p>
        </w:tc>
        <w:tc>
          <w:tcPr>
            <w:tcW w:w="1004" w:type="dxa"/>
            <w:vAlign w:val="center"/>
          </w:tcPr>
          <w:p w14:paraId="4AEE5A83">
            <w:pPr>
              <w:pStyle w:val="11"/>
              <w:spacing w:before="163" w:line="183" w:lineRule="auto"/>
              <w:jc w:val="center"/>
              <w:rPr>
                <w:rFonts w:ascii="Times New Roman" w:hAnsi="Times New Roman" w:cs="Times New Roman"/>
                <w:color w:val="auto"/>
              </w:rPr>
            </w:pPr>
            <w:r>
              <w:rPr>
                <w:rFonts w:ascii="Times New Roman" w:hAnsi="Times New Roman" w:cs="Times New Roman"/>
                <w:color w:val="auto"/>
              </w:rPr>
              <w:t>0</w:t>
            </w:r>
          </w:p>
        </w:tc>
        <w:tc>
          <w:tcPr>
            <w:tcW w:w="1094" w:type="dxa"/>
            <w:vAlign w:val="center"/>
          </w:tcPr>
          <w:p w14:paraId="35131D8C">
            <w:pPr>
              <w:pStyle w:val="11"/>
              <w:spacing w:before="163" w:line="183" w:lineRule="auto"/>
              <w:ind w:left="84"/>
              <w:jc w:val="center"/>
              <w:rPr>
                <w:rFonts w:ascii="Times New Roman" w:hAnsi="Times New Roman" w:cs="Times New Roman"/>
                <w:color w:val="auto"/>
              </w:rPr>
            </w:pPr>
            <w:r>
              <w:rPr>
                <w:rFonts w:ascii="Times New Roman" w:hAnsi="Times New Roman" w:cs="Times New Roman"/>
                <w:color w:val="auto"/>
              </w:rPr>
              <w:t>208</w:t>
            </w:r>
          </w:p>
        </w:tc>
        <w:tc>
          <w:tcPr>
            <w:tcW w:w="1234" w:type="dxa"/>
            <w:vAlign w:val="center"/>
          </w:tcPr>
          <w:p w14:paraId="3961420D">
            <w:pPr>
              <w:pStyle w:val="11"/>
              <w:spacing w:before="163" w:line="183" w:lineRule="auto"/>
              <w:jc w:val="center"/>
              <w:rPr>
                <w:rFonts w:ascii="Times New Roman" w:hAnsi="Times New Roman" w:cs="Times New Roman"/>
                <w:color w:val="auto"/>
                <w:lang w:eastAsia="zh-CN"/>
              </w:rPr>
            </w:pPr>
            <w:r>
              <w:rPr>
                <w:rFonts w:ascii="Times New Roman" w:hAnsi="Times New Roman" w:cs="Times New Roman"/>
                <w:color w:val="auto"/>
                <w:lang w:eastAsia="zh-CN"/>
              </w:rPr>
              <w:t>16</w:t>
            </w:r>
          </w:p>
        </w:tc>
      </w:tr>
      <w:tr w14:paraId="6E6C0E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2194" w:type="dxa"/>
          </w:tcPr>
          <w:p w14:paraId="3982A3C3">
            <w:pPr>
              <w:pStyle w:val="11"/>
              <w:spacing w:before="118" w:line="221" w:lineRule="auto"/>
              <w:ind w:left="503"/>
              <w:rPr>
                <w:rFonts w:ascii="Times New Roman" w:hAnsi="Times New Roman" w:cs="Times New Roman"/>
                <w:color w:val="auto"/>
              </w:rPr>
            </w:pPr>
            <w:r>
              <w:rPr>
                <w:rFonts w:ascii="Times New Roman" w:hAnsi="Times New Roman" w:cs="Times New Roman"/>
                <w:color w:val="auto"/>
                <w:spacing w:val="-3"/>
              </w:rPr>
              <w:t>专业方向课</w:t>
            </w:r>
          </w:p>
        </w:tc>
        <w:tc>
          <w:tcPr>
            <w:tcW w:w="787" w:type="dxa"/>
            <w:vAlign w:val="center"/>
          </w:tcPr>
          <w:p w14:paraId="63D14D46">
            <w:pPr>
              <w:pStyle w:val="11"/>
              <w:spacing w:before="155" w:line="184" w:lineRule="auto"/>
              <w:jc w:val="center"/>
              <w:rPr>
                <w:rFonts w:ascii="Times New Roman" w:hAnsi="Times New Roman" w:cs="Times New Roman"/>
                <w:color w:val="auto"/>
                <w:lang w:eastAsia="zh-CN"/>
              </w:rPr>
            </w:pPr>
            <w:r>
              <w:rPr>
                <w:rFonts w:ascii="Times New Roman" w:hAnsi="Times New Roman" w:cs="Times New Roman"/>
                <w:color w:val="auto"/>
                <w:lang w:eastAsia="zh-CN"/>
              </w:rPr>
              <w:t>13</w:t>
            </w:r>
          </w:p>
        </w:tc>
        <w:tc>
          <w:tcPr>
            <w:tcW w:w="773" w:type="dxa"/>
            <w:vAlign w:val="center"/>
          </w:tcPr>
          <w:p w14:paraId="6F8E63AC">
            <w:pPr>
              <w:pStyle w:val="11"/>
              <w:spacing w:before="156" w:line="183" w:lineRule="auto"/>
              <w:jc w:val="center"/>
              <w:rPr>
                <w:rFonts w:ascii="Times New Roman" w:hAnsi="Times New Roman" w:cs="Times New Roman"/>
                <w:color w:val="auto"/>
                <w:lang w:eastAsia="zh-CN"/>
              </w:rPr>
            </w:pPr>
            <w:r>
              <w:rPr>
                <w:rFonts w:hint="eastAsia" w:ascii="Times New Roman" w:hAnsi="Times New Roman" w:cs="Times New Roman"/>
                <w:color w:val="auto"/>
                <w:lang w:eastAsia="zh-CN"/>
              </w:rPr>
              <w:t>224</w:t>
            </w:r>
          </w:p>
        </w:tc>
        <w:tc>
          <w:tcPr>
            <w:tcW w:w="899" w:type="dxa"/>
            <w:vAlign w:val="center"/>
          </w:tcPr>
          <w:p w14:paraId="4492B73E">
            <w:pPr>
              <w:pStyle w:val="11"/>
              <w:spacing w:before="155" w:line="184" w:lineRule="auto"/>
              <w:ind w:left="220"/>
              <w:jc w:val="center"/>
              <w:rPr>
                <w:rFonts w:ascii="Times New Roman" w:hAnsi="Times New Roman" w:cs="Times New Roman"/>
                <w:color w:val="auto"/>
                <w:lang w:eastAsia="zh-CN"/>
              </w:rPr>
            </w:pPr>
            <w:r>
              <w:rPr>
                <w:rFonts w:ascii="Times New Roman" w:hAnsi="Times New Roman" w:cs="Times New Roman"/>
                <w:color w:val="auto"/>
                <w:lang w:eastAsia="zh-CN"/>
              </w:rPr>
              <w:t>7.</w:t>
            </w:r>
            <w:r>
              <w:rPr>
                <w:rFonts w:hint="eastAsia" w:ascii="Times New Roman" w:hAnsi="Times New Roman" w:cs="Times New Roman"/>
                <w:color w:val="auto"/>
                <w:lang w:eastAsia="zh-CN"/>
              </w:rPr>
              <w:t>37</w:t>
            </w:r>
          </w:p>
        </w:tc>
        <w:tc>
          <w:tcPr>
            <w:tcW w:w="1064" w:type="dxa"/>
            <w:vAlign w:val="center"/>
          </w:tcPr>
          <w:p w14:paraId="4B8CA5CE">
            <w:pPr>
              <w:pStyle w:val="11"/>
              <w:spacing w:before="156" w:line="183" w:lineRule="auto"/>
              <w:ind w:left="26"/>
              <w:jc w:val="center"/>
              <w:rPr>
                <w:rFonts w:ascii="Times New Roman" w:hAnsi="Times New Roman" w:cs="Times New Roman"/>
                <w:color w:val="auto"/>
                <w:lang w:eastAsia="zh-CN"/>
              </w:rPr>
            </w:pPr>
            <w:r>
              <w:rPr>
                <w:rFonts w:hint="eastAsia" w:ascii="Times New Roman" w:hAnsi="Times New Roman" w:cs="Times New Roman"/>
                <w:color w:val="auto"/>
                <w:lang w:eastAsia="zh-CN"/>
              </w:rPr>
              <w:t>224</w:t>
            </w:r>
          </w:p>
        </w:tc>
        <w:tc>
          <w:tcPr>
            <w:tcW w:w="1004" w:type="dxa"/>
            <w:vAlign w:val="center"/>
          </w:tcPr>
          <w:p w14:paraId="6DC1B955">
            <w:pPr>
              <w:pStyle w:val="11"/>
              <w:spacing w:before="156" w:line="183" w:lineRule="auto"/>
              <w:jc w:val="center"/>
              <w:rPr>
                <w:rFonts w:ascii="Times New Roman" w:hAnsi="Times New Roman" w:cs="Times New Roman"/>
                <w:color w:val="auto"/>
              </w:rPr>
            </w:pPr>
            <w:r>
              <w:rPr>
                <w:rFonts w:ascii="Times New Roman" w:hAnsi="Times New Roman" w:cs="Times New Roman"/>
                <w:color w:val="auto"/>
              </w:rPr>
              <w:t>0</w:t>
            </w:r>
          </w:p>
        </w:tc>
        <w:tc>
          <w:tcPr>
            <w:tcW w:w="1094" w:type="dxa"/>
            <w:vAlign w:val="center"/>
          </w:tcPr>
          <w:p w14:paraId="3BEFE87E">
            <w:pPr>
              <w:pStyle w:val="11"/>
              <w:spacing w:before="155" w:line="184" w:lineRule="auto"/>
              <w:ind w:left="84"/>
              <w:jc w:val="center"/>
              <w:rPr>
                <w:rFonts w:ascii="Times New Roman" w:hAnsi="Times New Roman" w:cs="Times New Roman"/>
                <w:color w:val="auto"/>
                <w:lang w:eastAsia="zh-CN"/>
              </w:rPr>
            </w:pPr>
            <w:r>
              <w:rPr>
                <w:rFonts w:ascii="Times New Roman" w:hAnsi="Times New Roman" w:cs="Times New Roman"/>
                <w:color w:val="auto"/>
                <w:lang w:eastAsia="zh-CN"/>
              </w:rPr>
              <w:t>176</w:t>
            </w:r>
          </w:p>
        </w:tc>
        <w:tc>
          <w:tcPr>
            <w:tcW w:w="1234" w:type="dxa"/>
            <w:vAlign w:val="center"/>
          </w:tcPr>
          <w:p w14:paraId="7DB6F1ED">
            <w:pPr>
              <w:pStyle w:val="11"/>
              <w:spacing w:before="156" w:line="183" w:lineRule="auto"/>
              <w:jc w:val="center"/>
              <w:rPr>
                <w:rFonts w:ascii="Times New Roman" w:hAnsi="Times New Roman" w:cs="Times New Roman"/>
                <w:color w:val="auto"/>
                <w:lang w:eastAsia="zh-CN"/>
              </w:rPr>
            </w:pPr>
            <w:r>
              <w:rPr>
                <w:rFonts w:ascii="Times New Roman" w:hAnsi="Times New Roman" w:cs="Times New Roman"/>
                <w:color w:val="auto"/>
                <w:lang w:eastAsia="zh-CN"/>
              </w:rPr>
              <w:t>48</w:t>
            </w:r>
          </w:p>
        </w:tc>
      </w:tr>
      <w:tr w14:paraId="5DD2F8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2194" w:type="dxa"/>
          </w:tcPr>
          <w:p w14:paraId="426AAE19">
            <w:pPr>
              <w:pStyle w:val="11"/>
              <w:spacing w:before="118" w:line="220" w:lineRule="auto"/>
              <w:ind w:left="382"/>
              <w:rPr>
                <w:rFonts w:ascii="Times New Roman" w:hAnsi="Times New Roman" w:cs="Times New Roman"/>
                <w:color w:val="auto"/>
              </w:rPr>
            </w:pPr>
            <w:r>
              <w:rPr>
                <w:rFonts w:ascii="Times New Roman" w:hAnsi="Times New Roman" w:cs="Times New Roman"/>
                <w:color w:val="auto"/>
                <w:spacing w:val="-2"/>
              </w:rPr>
              <w:t>个性发展课程</w:t>
            </w:r>
          </w:p>
        </w:tc>
        <w:tc>
          <w:tcPr>
            <w:tcW w:w="787" w:type="dxa"/>
            <w:vAlign w:val="center"/>
          </w:tcPr>
          <w:p w14:paraId="11A5C5A2">
            <w:pPr>
              <w:pStyle w:val="11"/>
              <w:spacing w:before="156" w:line="183" w:lineRule="auto"/>
              <w:jc w:val="center"/>
              <w:rPr>
                <w:rFonts w:ascii="Times New Roman" w:hAnsi="Times New Roman" w:cs="Times New Roman"/>
                <w:color w:val="auto"/>
              </w:rPr>
            </w:pPr>
            <w:r>
              <w:rPr>
                <w:rFonts w:ascii="Times New Roman" w:hAnsi="Times New Roman" w:cs="Times New Roman"/>
                <w:color w:val="auto"/>
              </w:rPr>
              <w:t>2.5</w:t>
            </w:r>
          </w:p>
        </w:tc>
        <w:tc>
          <w:tcPr>
            <w:tcW w:w="773" w:type="dxa"/>
            <w:vAlign w:val="center"/>
          </w:tcPr>
          <w:p w14:paraId="1F9B9572">
            <w:pPr>
              <w:pStyle w:val="11"/>
              <w:spacing w:before="155" w:line="183" w:lineRule="auto"/>
              <w:jc w:val="center"/>
              <w:rPr>
                <w:rFonts w:ascii="Times New Roman" w:hAnsi="Times New Roman" w:cs="Times New Roman"/>
                <w:color w:val="auto"/>
              </w:rPr>
            </w:pPr>
            <w:r>
              <w:rPr>
                <w:rFonts w:ascii="Times New Roman" w:hAnsi="Times New Roman" w:cs="Times New Roman"/>
                <w:color w:val="auto"/>
              </w:rPr>
              <w:t>40</w:t>
            </w:r>
          </w:p>
        </w:tc>
        <w:tc>
          <w:tcPr>
            <w:tcW w:w="899" w:type="dxa"/>
            <w:vAlign w:val="center"/>
          </w:tcPr>
          <w:p w14:paraId="2EC0F5BB">
            <w:pPr>
              <w:pStyle w:val="11"/>
              <w:spacing w:before="154" w:line="184" w:lineRule="auto"/>
              <w:ind w:left="232"/>
              <w:jc w:val="center"/>
              <w:rPr>
                <w:rFonts w:ascii="Times New Roman" w:hAnsi="Times New Roman" w:cs="Times New Roman"/>
                <w:color w:val="auto"/>
                <w:lang w:eastAsia="zh-CN"/>
              </w:rPr>
            </w:pPr>
            <w:r>
              <w:rPr>
                <w:rFonts w:ascii="Times New Roman" w:hAnsi="Times New Roman" w:cs="Times New Roman"/>
                <w:color w:val="auto"/>
                <w:lang w:eastAsia="zh-CN"/>
              </w:rPr>
              <w:t>1.32</w:t>
            </w:r>
          </w:p>
        </w:tc>
        <w:tc>
          <w:tcPr>
            <w:tcW w:w="1064" w:type="dxa"/>
            <w:vAlign w:val="center"/>
          </w:tcPr>
          <w:p w14:paraId="3B9FCD11">
            <w:pPr>
              <w:pStyle w:val="11"/>
              <w:spacing w:before="155" w:line="183" w:lineRule="auto"/>
              <w:ind w:left="26"/>
              <w:jc w:val="center"/>
              <w:rPr>
                <w:rFonts w:ascii="Times New Roman" w:hAnsi="Times New Roman" w:cs="Times New Roman"/>
                <w:color w:val="auto"/>
              </w:rPr>
            </w:pPr>
            <w:r>
              <w:rPr>
                <w:rFonts w:ascii="Times New Roman" w:hAnsi="Times New Roman" w:cs="Times New Roman"/>
                <w:color w:val="auto"/>
              </w:rPr>
              <w:t>0</w:t>
            </w:r>
          </w:p>
        </w:tc>
        <w:tc>
          <w:tcPr>
            <w:tcW w:w="1004" w:type="dxa"/>
            <w:vAlign w:val="center"/>
          </w:tcPr>
          <w:p w14:paraId="7C8ADF9C">
            <w:pPr>
              <w:pStyle w:val="11"/>
              <w:spacing w:before="155" w:line="183" w:lineRule="auto"/>
              <w:jc w:val="center"/>
              <w:rPr>
                <w:rFonts w:ascii="Times New Roman" w:hAnsi="Times New Roman" w:cs="Times New Roman"/>
                <w:color w:val="auto"/>
              </w:rPr>
            </w:pPr>
            <w:r>
              <w:rPr>
                <w:rFonts w:ascii="Times New Roman" w:hAnsi="Times New Roman" w:cs="Times New Roman"/>
                <w:color w:val="auto"/>
              </w:rPr>
              <w:t>40</w:t>
            </w:r>
          </w:p>
        </w:tc>
        <w:tc>
          <w:tcPr>
            <w:tcW w:w="1094" w:type="dxa"/>
            <w:vAlign w:val="center"/>
          </w:tcPr>
          <w:p w14:paraId="76B16D16">
            <w:pPr>
              <w:pStyle w:val="11"/>
              <w:spacing w:before="155" w:line="183" w:lineRule="auto"/>
              <w:ind w:left="84"/>
              <w:jc w:val="center"/>
              <w:rPr>
                <w:rFonts w:ascii="Times New Roman" w:hAnsi="Times New Roman" w:cs="Times New Roman"/>
                <w:color w:val="auto"/>
              </w:rPr>
            </w:pPr>
            <w:r>
              <w:rPr>
                <w:rFonts w:ascii="Times New Roman" w:hAnsi="Times New Roman" w:cs="Times New Roman"/>
                <w:color w:val="auto"/>
              </w:rPr>
              <w:t>40</w:t>
            </w:r>
          </w:p>
        </w:tc>
        <w:tc>
          <w:tcPr>
            <w:tcW w:w="1234" w:type="dxa"/>
            <w:vAlign w:val="center"/>
          </w:tcPr>
          <w:p w14:paraId="0FB2EA4B">
            <w:pPr>
              <w:pStyle w:val="11"/>
              <w:spacing w:before="155" w:line="183" w:lineRule="auto"/>
              <w:jc w:val="center"/>
              <w:rPr>
                <w:rFonts w:ascii="Times New Roman" w:hAnsi="Times New Roman" w:cs="Times New Roman"/>
                <w:color w:val="auto"/>
              </w:rPr>
            </w:pPr>
            <w:r>
              <w:rPr>
                <w:rFonts w:ascii="Times New Roman" w:hAnsi="Times New Roman" w:cs="Times New Roman"/>
                <w:color w:val="auto"/>
              </w:rPr>
              <w:t>0</w:t>
            </w:r>
          </w:p>
        </w:tc>
      </w:tr>
      <w:tr w14:paraId="49B66F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2194" w:type="dxa"/>
          </w:tcPr>
          <w:p w14:paraId="01856B92">
            <w:pPr>
              <w:pStyle w:val="11"/>
              <w:spacing w:before="124" w:line="220" w:lineRule="auto"/>
              <w:ind w:left="382"/>
              <w:rPr>
                <w:rFonts w:ascii="Times New Roman" w:hAnsi="Times New Roman" w:cs="Times New Roman"/>
                <w:color w:val="auto"/>
              </w:rPr>
            </w:pPr>
            <w:r>
              <w:rPr>
                <w:rFonts w:ascii="Times New Roman" w:hAnsi="Times New Roman" w:cs="Times New Roman"/>
                <w:color w:val="auto"/>
                <w:spacing w:val="-2"/>
              </w:rPr>
              <w:t>集中实践环节</w:t>
            </w:r>
          </w:p>
        </w:tc>
        <w:tc>
          <w:tcPr>
            <w:tcW w:w="787" w:type="dxa"/>
            <w:vAlign w:val="center"/>
          </w:tcPr>
          <w:p w14:paraId="767C7D41">
            <w:pPr>
              <w:pStyle w:val="11"/>
              <w:spacing w:before="162" w:line="183" w:lineRule="auto"/>
              <w:jc w:val="center"/>
              <w:rPr>
                <w:rFonts w:ascii="Times New Roman" w:hAnsi="Times New Roman" w:cs="Times New Roman"/>
                <w:color w:val="auto"/>
                <w:lang w:eastAsia="zh-CN"/>
              </w:rPr>
            </w:pPr>
            <w:r>
              <w:rPr>
                <w:rFonts w:ascii="Times New Roman" w:hAnsi="Times New Roman" w:cs="Times New Roman"/>
                <w:color w:val="auto"/>
                <w:lang w:eastAsia="zh-CN"/>
              </w:rPr>
              <w:t>46</w:t>
            </w:r>
          </w:p>
        </w:tc>
        <w:tc>
          <w:tcPr>
            <w:tcW w:w="773" w:type="dxa"/>
            <w:vAlign w:val="center"/>
          </w:tcPr>
          <w:p w14:paraId="20DE0FD1">
            <w:pPr>
              <w:pStyle w:val="11"/>
              <w:spacing w:before="162" w:line="183" w:lineRule="auto"/>
              <w:jc w:val="center"/>
              <w:rPr>
                <w:rFonts w:ascii="Times New Roman" w:hAnsi="Times New Roman" w:cs="Times New Roman"/>
                <w:color w:val="auto"/>
                <w:lang w:eastAsia="zh-CN"/>
              </w:rPr>
            </w:pPr>
            <w:r>
              <w:rPr>
                <w:rFonts w:hint="eastAsia" w:ascii="Times New Roman" w:hAnsi="Times New Roman" w:cs="Times New Roman"/>
                <w:color w:val="auto"/>
                <w:lang w:eastAsia="zh-CN"/>
              </w:rPr>
              <w:t>736</w:t>
            </w:r>
          </w:p>
        </w:tc>
        <w:tc>
          <w:tcPr>
            <w:tcW w:w="899" w:type="dxa"/>
            <w:vAlign w:val="center"/>
          </w:tcPr>
          <w:p w14:paraId="021184D8">
            <w:pPr>
              <w:pStyle w:val="11"/>
              <w:spacing w:before="162" w:line="183" w:lineRule="auto"/>
              <w:ind w:left="157"/>
              <w:jc w:val="center"/>
              <w:rPr>
                <w:rFonts w:ascii="Times New Roman" w:hAnsi="Times New Roman" w:cs="Times New Roman"/>
                <w:color w:val="auto"/>
                <w:lang w:eastAsia="zh-CN"/>
              </w:rPr>
            </w:pPr>
            <w:r>
              <w:rPr>
                <w:rFonts w:ascii="Times New Roman" w:hAnsi="Times New Roman" w:cs="Times New Roman"/>
                <w:color w:val="auto"/>
                <w:lang w:eastAsia="zh-CN"/>
              </w:rPr>
              <w:t>24.</w:t>
            </w:r>
            <w:r>
              <w:rPr>
                <w:rFonts w:hint="eastAsia" w:ascii="Times New Roman" w:hAnsi="Times New Roman" w:cs="Times New Roman"/>
                <w:color w:val="auto"/>
                <w:lang w:eastAsia="zh-CN"/>
              </w:rPr>
              <w:t>21</w:t>
            </w:r>
          </w:p>
        </w:tc>
        <w:tc>
          <w:tcPr>
            <w:tcW w:w="1064" w:type="dxa"/>
            <w:vAlign w:val="center"/>
          </w:tcPr>
          <w:p w14:paraId="7522039E">
            <w:pPr>
              <w:pStyle w:val="11"/>
              <w:spacing w:before="162" w:line="183" w:lineRule="auto"/>
              <w:ind w:left="26"/>
              <w:jc w:val="center"/>
              <w:rPr>
                <w:rFonts w:ascii="Times New Roman" w:hAnsi="Times New Roman" w:cs="Times New Roman"/>
                <w:color w:val="auto"/>
                <w:lang w:eastAsia="zh-CN"/>
              </w:rPr>
            </w:pPr>
            <w:r>
              <w:rPr>
                <w:rFonts w:ascii="Times New Roman" w:hAnsi="Times New Roman" w:cs="Times New Roman"/>
                <w:color w:val="auto"/>
                <w:lang w:eastAsia="zh-CN"/>
              </w:rPr>
              <w:t>7</w:t>
            </w:r>
            <w:r>
              <w:rPr>
                <w:rFonts w:hint="eastAsia" w:ascii="Times New Roman" w:hAnsi="Times New Roman" w:cs="Times New Roman"/>
                <w:color w:val="auto"/>
                <w:lang w:eastAsia="zh-CN"/>
              </w:rPr>
              <w:t>36</w:t>
            </w:r>
          </w:p>
        </w:tc>
        <w:tc>
          <w:tcPr>
            <w:tcW w:w="1004" w:type="dxa"/>
            <w:vAlign w:val="center"/>
          </w:tcPr>
          <w:p w14:paraId="34F1CA99">
            <w:pPr>
              <w:pStyle w:val="11"/>
              <w:spacing w:before="162" w:line="183" w:lineRule="auto"/>
              <w:jc w:val="center"/>
              <w:rPr>
                <w:rFonts w:ascii="Times New Roman" w:hAnsi="Times New Roman" w:cs="Times New Roman"/>
                <w:color w:val="auto"/>
              </w:rPr>
            </w:pPr>
            <w:r>
              <w:rPr>
                <w:rFonts w:ascii="Times New Roman" w:hAnsi="Times New Roman" w:cs="Times New Roman"/>
                <w:color w:val="auto"/>
              </w:rPr>
              <w:t>0</w:t>
            </w:r>
          </w:p>
        </w:tc>
        <w:tc>
          <w:tcPr>
            <w:tcW w:w="1094" w:type="dxa"/>
            <w:vAlign w:val="center"/>
          </w:tcPr>
          <w:p w14:paraId="3AF62646">
            <w:pPr>
              <w:pStyle w:val="11"/>
              <w:spacing w:before="161" w:line="184" w:lineRule="auto"/>
              <w:ind w:left="84"/>
              <w:jc w:val="center"/>
              <w:rPr>
                <w:rFonts w:ascii="Times New Roman" w:hAnsi="Times New Roman" w:cs="Times New Roman"/>
                <w:color w:val="auto"/>
              </w:rPr>
            </w:pPr>
            <w:r>
              <w:rPr>
                <w:rFonts w:ascii="Times New Roman" w:hAnsi="Times New Roman" w:cs="Times New Roman"/>
                <w:color w:val="auto"/>
              </w:rPr>
              <w:t>16</w:t>
            </w:r>
          </w:p>
        </w:tc>
        <w:tc>
          <w:tcPr>
            <w:tcW w:w="1234" w:type="dxa"/>
            <w:vAlign w:val="center"/>
          </w:tcPr>
          <w:p w14:paraId="10272B57">
            <w:pPr>
              <w:pStyle w:val="11"/>
              <w:spacing w:before="162" w:line="183" w:lineRule="auto"/>
              <w:jc w:val="center"/>
              <w:rPr>
                <w:rFonts w:ascii="Times New Roman" w:hAnsi="Times New Roman" w:cs="Times New Roman"/>
                <w:color w:val="auto"/>
                <w:lang w:eastAsia="zh-CN"/>
              </w:rPr>
            </w:pPr>
            <w:r>
              <w:rPr>
                <w:rFonts w:ascii="Times New Roman" w:hAnsi="Times New Roman" w:cs="Times New Roman"/>
                <w:color w:val="auto"/>
                <w:lang w:eastAsia="zh-CN"/>
              </w:rPr>
              <w:t>72</w:t>
            </w:r>
            <w:r>
              <w:rPr>
                <w:rFonts w:hint="eastAsia" w:ascii="Times New Roman" w:hAnsi="Times New Roman" w:cs="Times New Roman"/>
                <w:color w:val="auto"/>
                <w:lang w:eastAsia="zh-CN"/>
              </w:rPr>
              <w:t>0</w:t>
            </w:r>
          </w:p>
        </w:tc>
      </w:tr>
      <w:tr w14:paraId="7B5DFC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2194" w:type="dxa"/>
          </w:tcPr>
          <w:p w14:paraId="76D74231">
            <w:pPr>
              <w:pStyle w:val="11"/>
              <w:spacing w:before="118" w:line="220" w:lineRule="auto"/>
              <w:ind w:left="622"/>
              <w:rPr>
                <w:rFonts w:ascii="Times New Roman" w:hAnsi="Times New Roman" w:cs="Times New Roman"/>
                <w:color w:val="auto"/>
              </w:rPr>
            </w:pPr>
            <w:r>
              <w:rPr>
                <w:rFonts w:ascii="Times New Roman" w:hAnsi="Times New Roman" w:cs="Times New Roman"/>
                <w:color w:val="auto"/>
                <w:spacing w:val="-3"/>
              </w:rPr>
              <w:t>第二课堂</w:t>
            </w:r>
          </w:p>
        </w:tc>
        <w:tc>
          <w:tcPr>
            <w:tcW w:w="787" w:type="dxa"/>
            <w:vAlign w:val="center"/>
          </w:tcPr>
          <w:p w14:paraId="3B133E5F">
            <w:pPr>
              <w:pStyle w:val="11"/>
              <w:spacing w:before="156" w:line="183" w:lineRule="auto"/>
              <w:jc w:val="center"/>
              <w:rPr>
                <w:rFonts w:ascii="Times New Roman" w:hAnsi="Times New Roman" w:cs="Times New Roman"/>
                <w:color w:val="auto"/>
              </w:rPr>
            </w:pPr>
            <w:r>
              <w:rPr>
                <w:rFonts w:ascii="Times New Roman" w:hAnsi="Times New Roman" w:cs="Times New Roman"/>
                <w:color w:val="auto"/>
              </w:rPr>
              <w:t>6</w:t>
            </w:r>
          </w:p>
        </w:tc>
        <w:tc>
          <w:tcPr>
            <w:tcW w:w="773" w:type="dxa"/>
            <w:vAlign w:val="center"/>
          </w:tcPr>
          <w:p w14:paraId="6C4CA3FE">
            <w:pPr>
              <w:pStyle w:val="11"/>
              <w:spacing w:before="156" w:line="183" w:lineRule="auto"/>
              <w:jc w:val="center"/>
              <w:rPr>
                <w:rFonts w:ascii="Times New Roman" w:hAnsi="Times New Roman" w:cs="Times New Roman"/>
                <w:color w:val="auto"/>
              </w:rPr>
            </w:pPr>
            <w:r>
              <w:rPr>
                <w:rFonts w:ascii="Times New Roman" w:hAnsi="Times New Roman" w:cs="Times New Roman"/>
                <w:color w:val="auto"/>
              </w:rPr>
              <w:t>96</w:t>
            </w:r>
          </w:p>
        </w:tc>
        <w:tc>
          <w:tcPr>
            <w:tcW w:w="899" w:type="dxa"/>
            <w:vAlign w:val="center"/>
          </w:tcPr>
          <w:p w14:paraId="533C2D2D">
            <w:pPr>
              <w:pStyle w:val="11"/>
              <w:spacing w:before="156" w:line="183" w:lineRule="auto"/>
              <w:ind w:left="219"/>
              <w:jc w:val="center"/>
              <w:rPr>
                <w:rFonts w:ascii="Times New Roman" w:hAnsi="Times New Roman" w:cs="Times New Roman"/>
                <w:color w:val="auto"/>
                <w:lang w:eastAsia="zh-CN"/>
              </w:rPr>
            </w:pPr>
            <w:r>
              <w:rPr>
                <w:rFonts w:ascii="Times New Roman" w:hAnsi="Times New Roman" w:cs="Times New Roman"/>
                <w:color w:val="auto"/>
                <w:lang w:eastAsia="zh-CN"/>
              </w:rPr>
              <w:t>3.1</w:t>
            </w:r>
            <w:r>
              <w:rPr>
                <w:rFonts w:hint="eastAsia" w:ascii="Times New Roman" w:hAnsi="Times New Roman" w:cs="Times New Roman"/>
                <w:color w:val="auto"/>
                <w:lang w:eastAsia="zh-CN"/>
              </w:rPr>
              <w:t>6</w:t>
            </w:r>
          </w:p>
        </w:tc>
        <w:tc>
          <w:tcPr>
            <w:tcW w:w="1064" w:type="dxa"/>
            <w:vAlign w:val="center"/>
          </w:tcPr>
          <w:p w14:paraId="469DF263">
            <w:pPr>
              <w:pStyle w:val="11"/>
              <w:spacing w:before="156" w:line="183" w:lineRule="auto"/>
              <w:ind w:left="26"/>
              <w:jc w:val="center"/>
              <w:rPr>
                <w:rFonts w:ascii="Times New Roman" w:hAnsi="Times New Roman" w:cs="Times New Roman"/>
                <w:color w:val="auto"/>
              </w:rPr>
            </w:pPr>
            <w:r>
              <w:rPr>
                <w:rFonts w:ascii="Times New Roman" w:hAnsi="Times New Roman" w:cs="Times New Roman"/>
                <w:color w:val="auto"/>
              </w:rPr>
              <w:t>0</w:t>
            </w:r>
          </w:p>
        </w:tc>
        <w:tc>
          <w:tcPr>
            <w:tcW w:w="1004" w:type="dxa"/>
            <w:vAlign w:val="center"/>
          </w:tcPr>
          <w:p w14:paraId="34688E0B">
            <w:pPr>
              <w:pStyle w:val="11"/>
              <w:spacing w:before="156" w:line="183" w:lineRule="auto"/>
              <w:jc w:val="center"/>
              <w:rPr>
                <w:rFonts w:ascii="Times New Roman" w:hAnsi="Times New Roman" w:cs="Times New Roman"/>
                <w:color w:val="auto"/>
              </w:rPr>
            </w:pPr>
            <w:r>
              <w:rPr>
                <w:rFonts w:ascii="Times New Roman" w:hAnsi="Times New Roman" w:cs="Times New Roman"/>
                <w:color w:val="auto"/>
              </w:rPr>
              <w:t>96</w:t>
            </w:r>
          </w:p>
        </w:tc>
        <w:tc>
          <w:tcPr>
            <w:tcW w:w="1094" w:type="dxa"/>
            <w:vAlign w:val="center"/>
          </w:tcPr>
          <w:p w14:paraId="2A1DF9D0">
            <w:pPr>
              <w:pStyle w:val="11"/>
              <w:spacing w:before="156" w:line="183" w:lineRule="auto"/>
              <w:ind w:left="84"/>
              <w:jc w:val="center"/>
              <w:rPr>
                <w:rFonts w:ascii="Times New Roman" w:hAnsi="Times New Roman" w:cs="Times New Roman"/>
                <w:color w:val="auto"/>
              </w:rPr>
            </w:pPr>
            <w:r>
              <w:rPr>
                <w:rFonts w:ascii="Times New Roman" w:hAnsi="Times New Roman" w:cs="Times New Roman"/>
                <w:color w:val="auto"/>
              </w:rPr>
              <w:t>0</w:t>
            </w:r>
          </w:p>
        </w:tc>
        <w:tc>
          <w:tcPr>
            <w:tcW w:w="1234" w:type="dxa"/>
            <w:vAlign w:val="center"/>
          </w:tcPr>
          <w:p w14:paraId="5B0574C8">
            <w:pPr>
              <w:pStyle w:val="11"/>
              <w:spacing w:before="156" w:line="183" w:lineRule="auto"/>
              <w:jc w:val="center"/>
              <w:rPr>
                <w:rFonts w:ascii="Times New Roman" w:hAnsi="Times New Roman" w:cs="Times New Roman"/>
                <w:color w:val="auto"/>
              </w:rPr>
            </w:pPr>
            <w:r>
              <w:rPr>
                <w:rFonts w:ascii="Times New Roman" w:hAnsi="Times New Roman" w:cs="Times New Roman"/>
                <w:color w:val="auto"/>
              </w:rPr>
              <w:t>96</w:t>
            </w:r>
          </w:p>
        </w:tc>
      </w:tr>
      <w:tr w14:paraId="4D4E8A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trPr>
        <w:tc>
          <w:tcPr>
            <w:tcW w:w="2194" w:type="dxa"/>
          </w:tcPr>
          <w:p w14:paraId="5FB7ACF2">
            <w:pPr>
              <w:pStyle w:val="11"/>
              <w:spacing w:before="117" w:line="222" w:lineRule="auto"/>
              <w:ind w:left="685"/>
              <w:rPr>
                <w:rFonts w:ascii="Times New Roman" w:hAnsi="Times New Roman" w:cs="Times New Roman"/>
                <w:color w:val="auto"/>
              </w:rPr>
            </w:pPr>
            <w:r>
              <w:rPr>
                <w:rFonts w:ascii="Times New Roman" w:hAnsi="Times New Roman" w:cs="Times New Roman"/>
                <w:color w:val="auto"/>
                <w:spacing w:val="-7"/>
              </w:rPr>
              <w:t>总</w:t>
            </w:r>
            <w:r>
              <w:rPr>
                <w:rFonts w:ascii="Times New Roman" w:hAnsi="Times New Roman" w:cs="Times New Roman"/>
                <w:color w:val="auto"/>
                <w:spacing w:val="3"/>
              </w:rPr>
              <w:t xml:space="preserve">   </w:t>
            </w:r>
            <w:r>
              <w:rPr>
                <w:rFonts w:ascii="Times New Roman" w:hAnsi="Times New Roman" w:cs="Times New Roman"/>
                <w:color w:val="auto"/>
                <w:spacing w:val="-7"/>
              </w:rPr>
              <w:t>计</w:t>
            </w:r>
          </w:p>
        </w:tc>
        <w:tc>
          <w:tcPr>
            <w:tcW w:w="787" w:type="dxa"/>
            <w:vAlign w:val="center"/>
          </w:tcPr>
          <w:p w14:paraId="2472988E">
            <w:pPr>
              <w:pStyle w:val="11"/>
              <w:spacing w:before="161" w:line="184" w:lineRule="auto"/>
              <w:jc w:val="center"/>
              <w:rPr>
                <w:rFonts w:ascii="Times New Roman" w:hAnsi="Times New Roman" w:cs="Times New Roman"/>
                <w:color w:val="auto"/>
                <w:sz w:val="22"/>
                <w:szCs w:val="22"/>
                <w:lang w:eastAsia="zh-CN"/>
              </w:rPr>
            </w:pPr>
            <w:r>
              <w:rPr>
                <w:rFonts w:ascii="Times New Roman" w:hAnsi="Times New Roman" w:cs="Times New Roman"/>
                <w:color w:val="auto"/>
                <w:spacing w:val="-8"/>
                <w:sz w:val="22"/>
                <w:szCs w:val="22"/>
                <w:lang w:eastAsia="zh-CN"/>
              </w:rPr>
              <w:t>18</w:t>
            </w:r>
            <w:r>
              <w:rPr>
                <w:rFonts w:hint="eastAsia" w:ascii="Times New Roman" w:hAnsi="Times New Roman" w:cs="Times New Roman"/>
                <w:color w:val="auto"/>
                <w:spacing w:val="-8"/>
                <w:sz w:val="22"/>
                <w:szCs w:val="22"/>
                <w:lang w:eastAsia="zh-CN"/>
              </w:rPr>
              <w:t>2</w:t>
            </w:r>
          </w:p>
        </w:tc>
        <w:tc>
          <w:tcPr>
            <w:tcW w:w="773" w:type="dxa"/>
            <w:vAlign w:val="center"/>
          </w:tcPr>
          <w:p w14:paraId="5B5354DA">
            <w:pPr>
              <w:pStyle w:val="11"/>
              <w:spacing w:before="161" w:line="184" w:lineRule="auto"/>
              <w:jc w:val="center"/>
              <w:rPr>
                <w:rFonts w:ascii="Times New Roman" w:hAnsi="Times New Roman" w:cs="Times New Roman"/>
                <w:color w:val="auto"/>
                <w:sz w:val="22"/>
                <w:szCs w:val="22"/>
                <w:lang w:eastAsia="zh-CN"/>
              </w:rPr>
            </w:pPr>
            <w:r>
              <w:rPr>
                <w:rFonts w:ascii="Times New Roman" w:hAnsi="Times New Roman" w:cs="Times New Roman"/>
                <w:color w:val="auto"/>
                <w:spacing w:val="-3"/>
                <w:sz w:val="22"/>
                <w:szCs w:val="22"/>
                <w:lang w:eastAsia="zh-CN"/>
              </w:rPr>
              <w:t>3040</w:t>
            </w:r>
          </w:p>
        </w:tc>
        <w:tc>
          <w:tcPr>
            <w:tcW w:w="899" w:type="dxa"/>
            <w:vAlign w:val="center"/>
          </w:tcPr>
          <w:p w14:paraId="26EB2429">
            <w:pPr>
              <w:pStyle w:val="11"/>
              <w:spacing w:before="161" w:line="184" w:lineRule="auto"/>
              <w:ind w:left="-1" w:leftChars="-1" w:hanging="1"/>
              <w:jc w:val="center"/>
              <w:rPr>
                <w:rFonts w:ascii="Times New Roman" w:hAnsi="Times New Roman" w:cs="Times New Roman"/>
                <w:color w:val="auto"/>
                <w:sz w:val="22"/>
                <w:szCs w:val="22"/>
              </w:rPr>
            </w:pPr>
            <w:r>
              <w:rPr>
                <w:rFonts w:ascii="Times New Roman" w:hAnsi="Times New Roman" w:cs="Times New Roman"/>
                <w:color w:val="auto"/>
                <w:spacing w:val="-8"/>
                <w:sz w:val="22"/>
                <w:szCs w:val="22"/>
              </w:rPr>
              <w:t>100</w:t>
            </w:r>
          </w:p>
        </w:tc>
        <w:tc>
          <w:tcPr>
            <w:tcW w:w="1064" w:type="dxa"/>
            <w:vAlign w:val="center"/>
          </w:tcPr>
          <w:p w14:paraId="25D70121">
            <w:pPr>
              <w:pStyle w:val="11"/>
              <w:spacing w:before="161" w:line="184" w:lineRule="auto"/>
              <w:ind w:left="26"/>
              <w:jc w:val="center"/>
              <w:rPr>
                <w:rFonts w:ascii="Times New Roman" w:hAnsi="Times New Roman" w:cs="Times New Roman"/>
                <w:color w:val="auto"/>
                <w:sz w:val="22"/>
                <w:szCs w:val="22"/>
                <w:lang w:eastAsia="zh-CN"/>
              </w:rPr>
            </w:pPr>
            <w:r>
              <w:rPr>
                <w:rFonts w:ascii="Times New Roman" w:hAnsi="Times New Roman" w:cs="Times New Roman"/>
                <w:color w:val="auto"/>
                <w:spacing w:val="-3"/>
                <w:sz w:val="22"/>
                <w:szCs w:val="22"/>
                <w:lang w:eastAsia="zh-CN"/>
              </w:rPr>
              <w:t>23</w:t>
            </w:r>
            <w:r>
              <w:rPr>
                <w:rFonts w:hint="eastAsia" w:ascii="Times New Roman" w:hAnsi="Times New Roman" w:cs="Times New Roman"/>
                <w:color w:val="auto"/>
                <w:spacing w:val="-3"/>
                <w:sz w:val="22"/>
                <w:szCs w:val="22"/>
                <w:lang w:eastAsia="zh-CN"/>
              </w:rPr>
              <w:t>76</w:t>
            </w:r>
          </w:p>
        </w:tc>
        <w:tc>
          <w:tcPr>
            <w:tcW w:w="1004" w:type="dxa"/>
            <w:vAlign w:val="center"/>
          </w:tcPr>
          <w:p w14:paraId="4453065C">
            <w:pPr>
              <w:pStyle w:val="11"/>
              <w:spacing w:before="161" w:line="184" w:lineRule="auto"/>
              <w:jc w:val="center"/>
              <w:rPr>
                <w:rFonts w:ascii="Times New Roman" w:hAnsi="Times New Roman" w:cs="Times New Roman"/>
                <w:color w:val="auto"/>
                <w:sz w:val="22"/>
                <w:szCs w:val="22"/>
                <w:lang w:eastAsia="zh-CN"/>
              </w:rPr>
            </w:pPr>
            <w:r>
              <w:rPr>
                <w:rFonts w:ascii="Times New Roman" w:hAnsi="Times New Roman" w:cs="Times New Roman"/>
                <w:color w:val="auto"/>
                <w:spacing w:val="-4"/>
                <w:sz w:val="22"/>
                <w:szCs w:val="22"/>
              </w:rPr>
              <w:t>6</w:t>
            </w:r>
            <w:r>
              <w:rPr>
                <w:rFonts w:ascii="Times New Roman" w:hAnsi="Times New Roman" w:cs="Times New Roman"/>
                <w:color w:val="auto"/>
                <w:spacing w:val="-4"/>
                <w:sz w:val="22"/>
                <w:szCs w:val="22"/>
                <w:lang w:eastAsia="zh-CN"/>
              </w:rPr>
              <w:t>64</w:t>
            </w:r>
          </w:p>
        </w:tc>
        <w:tc>
          <w:tcPr>
            <w:tcW w:w="1094" w:type="dxa"/>
            <w:vAlign w:val="center"/>
          </w:tcPr>
          <w:p w14:paraId="4027DA2D">
            <w:pPr>
              <w:pStyle w:val="11"/>
              <w:spacing w:before="161" w:line="184" w:lineRule="auto"/>
              <w:ind w:left="84"/>
              <w:jc w:val="center"/>
              <w:rPr>
                <w:rFonts w:ascii="Times New Roman" w:hAnsi="Times New Roman" w:cs="Times New Roman"/>
                <w:color w:val="auto"/>
                <w:sz w:val="22"/>
                <w:szCs w:val="22"/>
                <w:lang w:eastAsia="zh-CN"/>
              </w:rPr>
            </w:pPr>
            <w:r>
              <w:rPr>
                <w:rFonts w:ascii="Times New Roman" w:hAnsi="Times New Roman" w:cs="Times New Roman"/>
                <w:color w:val="auto"/>
                <w:spacing w:val="-6"/>
                <w:sz w:val="22"/>
                <w:szCs w:val="22"/>
                <w:lang w:eastAsia="zh-CN"/>
              </w:rPr>
              <w:t>2024</w:t>
            </w:r>
          </w:p>
        </w:tc>
        <w:tc>
          <w:tcPr>
            <w:tcW w:w="1234" w:type="dxa"/>
            <w:vAlign w:val="center"/>
          </w:tcPr>
          <w:p w14:paraId="53E9D99F">
            <w:pPr>
              <w:pStyle w:val="11"/>
              <w:spacing w:before="161" w:line="184" w:lineRule="auto"/>
              <w:jc w:val="center"/>
              <w:rPr>
                <w:rFonts w:ascii="Times New Roman" w:hAnsi="Times New Roman" w:cs="Times New Roman"/>
                <w:color w:val="auto"/>
                <w:sz w:val="22"/>
                <w:szCs w:val="22"/>
                <w:lang w:eastAsia="zh-CN"/>
              </w:rPr>
            </w:pPr>
            <w:r>
              <w:rPr>
                <w:rFonts w:hint="eastAsia" w:ascii="Times New Roman" w:hAnsi="Times New Roman" w:cs="Times New Roman"/>
                <w:color w:val="auto"/>
                <w:spacing w:val="-6"/>
                <w:sz w:val="22"/>
                <w:szCs w:val="22"/>
                <w:lang w:eastAsia="zh-CN"/>
              </w:rPr>
              <w:t>1016</w:t>
            </w:r>
          </w:p>
        </w:tc>
      </w:tr>
    </w:tbl>
    <w:p w14:paraId="5922F209">
      <w:pPr>
        <w:spacing w:line="477" w:lineRule="auto"/>
        <w:rPr>
          <w:rFonts w:ascii="Times New Roman" w:hAnsi="Times New Roman" w:cs="Times New Roman"/>
          <w:color w:val="auto"/>
        </w:rPr>
      </w:pPr>
    </w:p>
    <w:p w14:paraId="2CAC384F">
      <w:pPr>
        <w:pStyle w:val="3"/>
        <w:spacing w:before="91" w:line="221" w:lineRule="auto"/>
        <w:ind w:left="528"/>
        <w:outlineLvl w:val="0"/>
        <w:rPr>
          <w:rFonts w:ascii="Times New Roman" w:hAnsi="Times New Roman" w:cs="Times New Roman"/>
          <w:color w:val="auto"/>
          <w:sz w:val="28"/>
          <w:szCs w:val="28"/>
          <w:lang w:eastAsia="zh-CN"/>
        </w:rPr>
      </w:pPr>
      <w:r>
        <w:rPr>
          <w:rFonts w:ascii="Times New Roman" w:hAnsi="Times New Roman" w:cs="Times New Roman"/>
          <w:b/>
          <w:bCs/>
          <w:color w:val="auto"/>
          <w:spacing w:val="-4"/>
          <w:sz w:val="28"/>
          <w:szCs w:val="28"/>
          <w:lang w:eastAsia="zh-CN"/>
        </w:rPr>
        <w:t>六、专业指导性教学计划</w:t>
      </w:r>
    </w:p>
    <w:p w14:paraId="72B9EEBA">
      <w:pPr>
        <w:pStyle w:val="2"/>
        <w:rPr>
          <w:color w:val="auto"/>
        </w:rPr>
      </w:pPr>
      <w:bookmarkStart w:id="0" w:name="_GoBack"/>
      <w:bookmarkEnd w:id="0"/>
    </w:p>
    <w:sectPr>
      <w:pgSz w:w="11906" w:h="16839"/>
      <w:pgMar w:top="2445" w:right="0" w:bottom="735" w:left="853" w:header="0" w:footer="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Arial">
    <w:panose1 w:val="020B0604020202020204"/>
    <w:charset w:val="00"/>
    <w:family w:val="swiss"/>
    <w:pitch w:val="default"/>
    <w:sig w:usb0="E0002AFF" w:usb1="C0007843" w:usb2="00000009" w:usb3="00000000" w:csb0="400001FF" w:csb1="FFFF0000"/>
  </w:font>
  <w:font w:name="Arial Unicode MS">
    <w:panose1 w:val="020B0604020202020204"/>
    <w:charset w:val="86"/>
    <w:family w:val="swiss"/>
    <w:pitch w:val="default"/>
    <w:sig w:usb0="FFFFFFFF" w:usb1="E9FFFFFF" w:usb2="0000003F" w:usb3="00000000" w:csb0="603F01FF" w:csb1="FFFF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bordersDoNotSurroundHeader w:val="1"/>
  <w:bordersDoNotSurroundFooter w:val="1"/>
  <w:trackRevisions w:val="1"/>
  <w:documentProtection w:enforcement="0"/>
  <w:defaultTabStop w:val="420"/>
  <w:characterSpacingControl w:val="doNotCompress"/>
  <w:compat>
    <w:spaceForUL/>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2NDI1NTIzMjI2NjG1MLBU0lEKTi0uzszPAykwNKgFAJTo0W4tAAAA"/>
  </w:docVars>
  <w:rsids>
    <w:rsidRoot w:val="007E77DE"/>
    <w:rsid w:val="00003CFF"/>
    <w:rsid w:val="00021390"/>
    <w:rsid w:val="00046997"/>
    <w:rsid w:val="0005429C"/>
    <w:rsid w:val="00084535"/>
    <w:rsid w:val="000B63CC"/>
    <w:rsid w:val="000B7F83"/>
    <w:rsid w:val="000D060E"/>
    <w:rsid w:val="000D5F92"/>
    <w:rsid w:val="000E107A"/>
    <w:rsid w:val="000E1919"/>
    <w:rsid w:val="000E567A"/>
    <w:rsid w:val="000E7F84"/>
    <w:rsid w:val="00104C6D"/>
    <w:rsid w:val="00162674"/>
    <w:rsid w:val="00171539"/>
    <w:rsid w:val="00173F18"/>
    <w:rsid w:val="00182397"/>
    <w:rsid w:val="001A19D3"/>
    <w:rsid w:val="001A61F0"/>
    <w:rsid w:val="001B5FF9"/>
    <w:rsid w:val="001B6FAF"/>
    <w:rsid w:val="001C6FDE"/>
    <w:rsid w:val="001E3373"/>
    <w:rsid w:val="001F71A8"/>
    <w:rsid w:val="00214904"/>
    <w:rsid w:val="00224C3D"/>
    <w:rsid w:val="00224DAD"/>
    <w:rsid w:val="002324F3"/>
    <w:rsid w:val="002450F1"/>
    <w:rsid w:val="00255BAB"/>
    <w:rsid w:val="002616EF"/>
    <w:rsid w:val="00263DF9"/>
    <w:rsid w:val="00266907"/>
    <w:rsid w:val="00277FA7"/>
    <w:rsid w:val="00292255"/>
    <w:rsid w:val="002C63E4"/>
    <w:rsid w:val="002D2F0B"/>
    <w:rsid w:val="00305D4E"/>
    <w:rsid w:val="00310313"/>
    <w:rsid w:val="00334694"/>
    <w:rsid w:val="00350475"/>
    <w:rsid w:val="0035633C"/>
    <w:rsid w:val="00356491"/>
    <w:rsid w:val="0039121F"/>
    <w:rsid w:val="003A0A97"/>
    <w:rsid w:val="003A2CD6"/>
    <w:rsid w:val="003B1282"/>
    <w:rsid w:val="003C59A3"/>
    <w:rsid w:val="003D3F74"/>
    <w:rsid w:val="00401A1C"/>
    <w:rsid w:val="00410FA6"/>
    <w:rsid w:val="00412425"/>
    <w:rsid w:val="00421FD0"/>
    <w:rsid w:val="004464B5"/>
    <w:rsid w:val="00464617"/>
    <w:rsid w:val="004844AC"/>
    <w:rsid w:val="004B2428"/>
    <w:rsid w:val="004B2615"/>
    <w:rsid w:val="004B3ABD"/>
    <w:rsid w:val="004B5F26"/>
    <w:rsid w:val="004C110A"/>
    <w:rsid w:val="004D1336"/>
    <w:rsid w:val="004D6029"/>
    <w:rsid w:val="00503905"/>
    <w:rsid w:val="0051150A"/>
    <w:rsid w:val="005214F5"/>
    <w:rsid w:val="00535683"/>
    <w:rsid w:val="0054486D"/>
    <w:rsid w:val="00553828"/>
    <w:rsid w:val="005559B6"/>
    <w:rsid w:val="0057015A"/>
    <w:rsid w:val="00571EA0"/>
    <w:rsid w:val="00582D0B"/>
    <w:rsid w:val="005D1FD7"/>
    <w:rsid w:val="005D5EDA"/>
    <w:rsid w:val="0060749F"/>
    <w:rsid w:val="006110D5"/>
    <w:rsid w:val="00616EC8"/>
    <w:rsid w:val="006507B3"/>
    <w:rsid w:val="006757D1"/>
    <w:rsid w:val="006B5EE7"/>
    <w:rsid w:val="006D02A3"/>
    <w:rsid w:val="006E3AA4"/>
    <w:rsid w:val="006E449D"/>
    <w:rsid w:val="006F2822"/>
    <w:rsid w:val="006F4BC5"/>
    <w:rsid w:val="0070238C"/>
    <w:rsid w:val="007337F2"/>
    <w:rsid w:val="007339E0"/>
    <w:rsid w:val="00756D3E"/>
    <w:rsid w:val="007A623A"/>
    <w:rsid w:val="007A6283"/>
    <w:rsid w:val="007B079D"/>
    <w:rsid w:val="007B32E1"/>
    <w:rsid w:val="007B4BD6"/>
    <w:rsid w:val="007C2147"/>
    <w:rsid w:val="007D01C2"/>
    <w:rsid w:val="007D14E5"/>
    <w:rsid w:val="007E3763"/>
    <w:rsid w:val="007E52E6"/>
    <w:rsid w:val="007E77DE"/>
    <w:rsid w:val="00804B31"/>
    <w:rsid w:val="0081347A"/>
    <w:rsid w:val="00847E10"/>
    <w:rsid w:val="0085037B"/>
    <w:rsid w:val="008510ED"/>
    <w:rsid w:val="00852637"/>
    <w:rsid w:val="00861386"/>
    <w:rsid w:val="008645B8"/>
    <w:rsid w:val="00873B2D"/>
    <w:rsid w:val="00874146"/>
    <w:rsid w:val="008759FB"/>
    <w:rsid w:val="008A3C96"/>
    <w:rsid w:val="008B27DC"/>
    <w:rsid w:val="008B7169"/>
    <w:rsid w:val="008D579D"/>
    <w:rsid w:val="008F3D14"/>
    <w:rsid w:val="00902F97"/>
    <w:rsid w:val="00903327"/>
    <w:rsid w:val="00941C42"/>
    <w:rsid w:val="009452C4"/>
    <w:rsid w:val="009643DB"/>
    <w:rsid w:val="00984F4D"/>
    <w:rsid w:val="00992494"/>
    <w:rsid w:val="009A30D2"/>
    <w:rsid w:val="009A4F7A"/>
    <w:rsid w:val="00A16C13"/>
    <w:rsid w:val="00A248E7"/>
    <w:rsid w:val="00A3377F"/>
    <w:rsid w:val="00A460E7"/>
    <w:rsid w:val="00A50A7E"/>
    <w:rsid w:val="00A749ED"/>
    <w:rsid w:val="00A75226"/>
    <w:rsid w:val="00A76BD0"/>
    <w:rsid w:val="00A97962"/>
    <w:rsid w:val="00AA5AF6"/>
    <w:rsid w:val="00AA6D33"/>
    <w:rsid w:val="00AC51E2"/>
    <w:rsid w:val="00AD3910"/>
    <w:rsid w:val="00AD421A"/>
    <w:rsid w:val="00B0098B"/>
    <w:rsid w:val="00B174D1"/>
    <w:rsid w:val="00B31672"/>
    <w:rsid w:val="00B411C8"/>
    <w:rsid w:val="00B4262C"/>
    <w:rsid w:val="00B52C13"/>
    <w:rsid w:val="00B90B6A"/>
    <w:rsid w:val="00BB53C0"/>
    <w:rsid w:val="00BC34D2"/>
    <w:rsid w:val="00BD5F41"/>
    <w:rsid w:val="00BD6E77"/>
    <w:rsid w:val="00C12064"/>
    <w:rsid w:val="00C1303F"/>
    <w:rsid w:val="00C41C6E"/>
    <w:rsid w:val="00C52960"/>
    <w:rsid w:val="00C81BCA"/>
    <w:rsid w:val="00D025FA"/>
    <w:rsid w:val="00D04C04"/>
    <w:rsid w:val="00D143B0"/>
    <w:rsid w:val="00D1550B"/>
    <w:rsid w:val="00D331A2"/>
    <w:rsid w:val="00D84822"/>
    <w:rsid w:val="00D91FCE"/>
    <w:rsid w:val="00D97A50"/>
    <w:rsid w:val="00DD34B2"/>
    <w:rsid w:val="00E00A36"/>
    <w:rsid w:val="00E10517"/>
    <w:rsid w:val="00E34F5F"/>
    <w:rsid w:val="00E62976"/>
    <w:rsid w:val="00E63B11"/>
    <w:rsid w:val="00E66C17"/>
    <w:rsid w:val="00E93B33"/>
    <w:rsid w:val="00E93CED"/>
    <w:rsid w:val="00E97AF5"/>
    <w:rsid w:val="00EC01C3"/>
    <w:rsid w:val="00EC538E"/>
    <w:rsid w:val="00EE53B2"/>
    <w:rsid w:val="00EE696E"/>
    <w:rsid w:val="00EF23EC"/>
    <w:rsid w:val="00F02CBA"/>
    <w:rsid w:val="00F152E6"/>
    <w:rsid w:val="00F24DF4"/>
    <w:rsid w:val="00F43588"/>
    <w:rsid w:val="00F45879"/>
    <w:rsid w:val="00F513F9"/>
    <w:rsid w:val="00F516E3"/>
    <w:rsid w:val="00F80417"/>
    <w:rsid w:val="00FC3FE9"/>
    <w:rsid w:val="00FD179F"/>
    <w:rsid w:val="051C7BC5"/>
    <w:rsid w:val="0DBC2242"/>
    <w:rsid w:val="1F24548D"/>
    <w:rsid w:val="221D2EA4"/>
    <w:rsid w:val="22291934"/>
    <w:rsid w:val="264E4DFC"/>
    <w:rsid w:val="2DE90BFB"/>
    <w:rsid w:val="41D639B9"/>
    <w:rsid w:val="4DB65E9A"/>
    <w:rsid w:val="5A9023E4"/>
    <w:rsid w:val="6EC1219F"/>
    <w:rsid w:val="79D202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Theme="minorEastAsia"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textAlignment w:val="baseline"/>
    </w:pPr>
    <w:rPr>
      <w:rFonts w:ascii="Arial" w:hAnsi="Arial" w:cs="Arial" w:eastAsiaTheme="minorEastAsia"/>
      <w:snapToGrid w:val="0"/>
      <w:color w:val="000000"/>
      <w:sz w:val="21"/>
      <w:szCs w:val="21"/>
      <w:lang w:val="en-US" w:eastAsia="en-US" w:bidi="ar-SA"/>
    </w:rPr>
  </w:style>
  <w:style w:type="paragraph" w:styleId="2">
    <w:name w:val="heading 1"/>
    <w:basedOn w:val="1"/>
    <w:next w:val="1"/>
    <w:qFormat/>
    <w:uiPriority w:val="0"/>
    <w:pPr>
      <w:keepNext/>
      <w:keepLines/>
      <w:spacing w:before="340" w:after="330" w:line="576" w:lineRule="auto"/>
      <w:outlineLvl w:val="0"/>
    </w:pPr>
    <w:rPr>
      <w:b/>
      <w:bCs/>
      <w:kern w:val="44"/>
      <w:sz w:val="44"/>
      <w:szCs w:val="44"/>
    </w:rPr>
  </w:style>
  <w:style w:type="character" w:default="1" w:styleId="9">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3">
    <w:name w:val="Body Text"/>
    <w:basedOn w:val="1"/>
    <w:semiHidden/>
    <w:qFormat/>
    <w:uiPriority w:val="0"/>
    <w:rPr>
      <w:rFonts w:ascii="宋体" w:hAnsi="宋体" w:eastAsia="宋体" w:cs="宋体"/>
      <w:sz w:val="24"/>
      <w:szCs w:val="24"/>
    </w:rPr>
  </w:style>
  <w:style w:type="paragraph" w:styleId="4">
    <w:name w:val="Balloon Text"/>
    <w:basedOn w:val="1"/>
    <w:link w:val="12"/>
    <w:semiHidden/>
    <w:unhideWhenUsed/>
    <w:uiPriority w:val="99"/>
    <w:rPr>
      <w:sz w:val="18"/>
      <w:szCs w:val="18"/>
    </w:rPr>
  </w:style>
  <w:style w:type="paragraph" w:styleId="5">
    <w:name w:val="footer"/>
    <w:basedOn w:val="1"/>
    <w:link w:val="14"/>
    <w:unhideWhenUsed/>
    <w:qFormat/>
    <w:uiPriority w:val="99"/>
    <w:pPr>
      <w:tabs>
        <w:tab w:val="center" w:pos="4153"/>
        <w:tab w:val="right" w:pos="8306"/>
      </w:tabs>
    </w:pPr>
    <w:rPr>
      <w:sz w:val="18"/>
      <w:szCs w:val="18"/>
    </w:rPr>
  </w:style>
  <w:style w:type="paragraph" w:styleId="6">
    <w:name w:val="header"/>
    <w:basedOn w:val="1"/>
    <w:link w:val="13"/>
    <w:unhideWhenUsed/>
    <w:qFormat/>
    <w:uiPriority w:val="99"/>
    <w:pPr>
      <w:tabs>
        <w:tab w:val="center" w:pos="4153"/>
        <w:tab w:val="right" w:pos="8306"/>
      </w:tabs>
      <w:jc w:val="center"/>
    </w:pPr>
    <w:rPr>
      <w:sz w:val="18"/>
      <w:szCs w:val="18"/>
    </w:rPr>
  </w:style>
  <w:style w:type="table" w:styleId="8">
    <w:name w:val="Table Grid"/>
    <w:basedOn w:val="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
    <w:name w:val="Table Normal"/>
    <w:semiHidden/>
    <w:unhideWhenUsed/>
    <w:qFormat/>
    <w:uiPriority w:val="0"/>
    <w:tblPr>
      <w:tblCellMar>
        <w:top w:w="0" w:type="dxa"/>
        <w:left w:w="0" w:type="dxa"/>
        <w:bottom w:w="0" w:type="dxa"/>
        <w:right w:w="0" w:type="dxa"/>
      </w:tblCellMar>
    </w:tblPr>
  </w:style>
  <w:style w:type="paragraph" w:customStyle="1" w:styleId="11">
    <w:name w:val="Table Text"/>
    <w:basedOn w:val="1"/>
    <w:semiHidden/>
    <w:qFormat/>
    <w:uiPriority w:val="0"/>
    <w:rPr>
      <w:rFonts w:ascii="宋体" w:hAnsi="宋体" w:eastAsia="宋体" w:cs="宋体"/>
      <w:sz w:val="24"/>
      <w:szCs w:val="24"/>
    </w:rPr>
  </w:style>
  <w:style w:type="character" w:customStyle="1" w:styleId="12">
    <w:name w:val="批注框文本 Char"/>
    <w:basedOn w:val="9"/>
    <w:link w:val="4"/>
    <w:semiHidden/>
    <w:qFormat/>
    <w:uiPriority w:val="99"/>
    <w:rPr>
      <w:sz w:val="18"/>
      <w:szCs w:val="18"/>
    </w:rPr>
  </w:style>
  <w:style w:type="character" w:customStyle="1" w:styleId="13">
    <w:name w:val="页眉 Char"/>
    <w:basedOn w:val="9"/>
    <w:link w:val="6"/>
    <w:qFormat/>
    <w:uiPriority w:val="99"/>
    <w:rPr>
      <w:snapToGrid w:val="0"/>
      <w:color w:val="000000"/>
      <w:sz w:val="18"/>
      <w:szCs w:val="18"/>
      <w:lang w:eastAsia="en-US"/>
    </w:rPr>
  </w:style>
  <w:style w:type="character" w:customStyle="1" w:styleId="14">
    <w:name w:val="页脚 Char"/>
    <w:basedOn w:val="9"/>
    <w:link w:val="5"/>
    <w:uiPriority w:val="99"/>
    <w:rPr>
      <w:snapToGrid w:val="0"/>
      <w:color w:val="000000"/>
      <w:sz w:val="18"/>
      <w:szCs w:val="18"/>
      <w:lang w:eastAsia="en-US"/>
    </w:rPr>
  </w:style>
  <w:style w:type="paragraph" w:customStyle="1" w:styleId="15">
    <w:name w:val="Revision"/>
    <w:hidden/>
    <w:semiHidden/>
    <w:qFormat/>
    <w:uiPriority w:val="99"/>
    <w:rPr>
      <w:rFonts w:ascii="Arial" w:hAnsi="Arial" w:cs="Arial" w:eastAsiaTheme="minorEastAsia"/>
      <w:snapToGrid w:val="0"/>
      <w:color w:val="000000"/>
      <w:sz w:val="21"/>
      <w:szCs w:val="21"/>
      <w:lang w:val="en-US" w:eastAsia="en-US"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7D7AD7-9B40-4007-8754-FC6B40CB9D73}">
  <ds:schemaRefs/>
</ds:datastoreItem>
</file>

<file path=docProps/app.xml><?xml version="1.0" encoding="utf-8"?>
<Properties xmlns="http://schemas.openxmlformats.org/officeDocument/2006/extended-properties" xmlns:vt="http://schemas.openxmlformats.org/officeDocument/2006/docPropsVTypes">
  <Template>Normal.dotm</Template>
  <Pages>5</Pages>
  <Words>3348</Words>
  <Characters>3546</Characters>
  <Lines>98</Lines>
  <Paragraphs>27</Paragraphs>
  <TotalTime>6</TotalTime>
  <ScaleCrop>false</ScaleCrop>
  <LinksUpToDate>false</LinksUpToDate>
  <CharactersWithSpaces>3648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2025-09-24T01:29:00Z</dcterms:created>
  <dc:creator>lu</dc:creator>
  <cp:lastModifiedBy>qiancheng</cp:lastModifiedBy>
  <cp:lastPrinted>2025-09-24T05:40:32Z</cp:lastPrinted>
  <dcterms:modified xsi:type="dcterms:W3CDTF">2025-09-24T05:44:40Z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2024-04-19T09:20:47Z</vt:filetime>
  </property>
  <property fmtid="{D5CDD505-2E9C-101B-9397-08002B2CF9AE}" pid="4" name="KSOProductBuildVer">
    <vt:lpwstr>2052-12.1.0.22529</vt:lpwstr>
  </property>
  <property fmtid="{D5CDD505-2E9C-101B-9397-08002B2CF9AE}" pid="5" name="ICV">
    <vt:lpwstr>DEDFC8432AB54A5EA1A3506B078B12AB_13</vt:lpwstr>
  </property>
  <property fmtid="{D5CDD505-2E9C-101B-9397-08002B2CF9AE}" pid="6" name="KSOTemplateDocerSaveRecord">
    <vt:lpwstr>eyJoZGlkIjoiMDYwZmNiYmM2Mjk5MmE0OTUyODc1ZTA3MzIyMDY5ODgiLCJ1c2VySWQiOiIzNDgzNDY0MjgifQ==</vt:lpwstr>
  </property>
</Properties>
</file>